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31" w:rsidRDefault="00567D31" w:rsidP="00567D31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Dodatek č. </w:t>
      </w:r>
      <w:r w:rsidR="00265C4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</w:t>
      </w:r>
    </w:p>
    <w:p w:rsidR="00567D31" w:rsidRDefault="00567D31" w:rsidP="00567D31">
      <w:pPr>
        <w:jc w:val="center"/>
        <w:rPr>
          <w:rFonts w:ascii="Arial" w:hAnsi="Arial"/>
          <w:b/>
          <w:sz w:val="24"/>
        </w:rPr>
      </w:pPr>
    </w:p>
    <w:p w:rsidR="00567D31" w:rsidRDefault="00567D31" w:rsidP="00567D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 </w:t>
      </w:r>
      <w:r w:rsidR="0007796F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 xml:space="preserve">. komunitnímu plánu sociálních služeb Olomoucka </w:t>
      </w:r>
    </w:p>
    <w:p w:rsidR="00567D31" w:rsidRDefault="00567D31" w:rsidP="00567D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období let 202</w:t>
      </w:r>
      <w:r w:rsidR="0007796F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– 202</w:t>
      </w:r>
      <w:r w:rsidR="0007796F">
        <w:rPr>
          <w:rFonts w:ascii="Arial" w:hAnsi="Arial"/>
          <w:b/>
          <w:sz w:val="24"/>
        </w:rPr>
        <w:t>5</w:t>
      </w:r>
    </w:p>
    <w:p w:rsidR="00567D31" w:rsidRDefault="00567D31" w:rsidP="00567D31">
      <w:pPr>
        <w:rPr>
          <w:rFonts w:ascii="Arial" w:hAnsi="Arial"/>
          <w:b/>
          <w:sz w:val="24"/>
        </w:rPr>
      </w:pPr>
    </w:p>
    <w:p w:rsidR="00567D31" w:rsidRDefault="00567D31" w:rsidP="00567D31">
      <w:pPr>
        <w:jc w:val="both"/>
        <w:rPr>
          <w:rFonts w:ascii="Arial" w:hAnsi="Arial" w:cs="Arial"/>
          <w:sz w:val="24"/>
          <w:szCs w:val="24"/>
        </w:rPr>
      </w:pPr>
      <w:r w:rsidRPr="0012558C">
        <w:rPr>
          <w:rFonts w:ascii="Arial" w:hAnsi="Arial"/>
          <w:sz w:val="24"/>
        </w:rPr>
        <w:t xml:space="preserve">Rada </w:t>
      </w:r>
      <w:r>
        <w:rPr>
          <w:rFonts w:ascii="Arial" w:hAnsi="Arial"/>
          <w:sz w:val="24"/>
        </w:rPr>
        <w:t xml:space="preserve">města Olomouce na svém jednání dne </w:t>
      </w:r>
      <w:r w:rsidR="0007796F">
        <w:rPr>
          <w:rFonts w:ascii="Arial" w:hAnsi="Arial"/>
          <w:sz w:val="24"/>
        </w:rPr>
        <w:t>5. 12. 2023</w:t>
      </w:r>
      <w:r>
        <w:rPr>
          <w:rFonts w:ascii="Arial" w:hAnsi="Arial"/>
          <w:sz w:val="24"/>
        </w:rPr>
        <w:t xml:space="preserve"> schválila Návrh na změnu v aktuálním komunitním plánu sociálních služeb (dále jen Návrh) předložený organizací </w:t>
      </w:r>
      <w:r w:rsidR="00265C46">
        <w:rPr>
          <w:rFonts w:ascii="Arial" w:hAnsi="Arial" w:cs="Arial"/>
          <w:b/>
          <w:sz w:val="24"/>
          <w:szCs w:val="24"/>
        </w:rPr>
        <w:t xml:space="preserve">Nejste sami – mobilní </w:t>
      </w:r>
      <w:proofErr w:type="gramStart"/>
      <w:r w:rsidR="00265C46">
        <w:rPr>
          <w:rFonts w:ascii="Arial" w:hAnsi="Arial" w:cs="Arial"/>
          <w:b/>
          <w:sz w:val="24"/>
          <w:szCs w:val="24"/>
        </w:rPr>
        <w:t xml:space="preserve">hospic, </w:t>
      </w:r>
      <w:proofErr w:type="spellStart"/>
      <w:r w:rsidR="00265C46">
        <w:rPr>
          <w:rFonts w:ascii="Arial" w:hAnsi="Arial" w:cs="Arial"/>
          <w:b/>
          <w:sz w:val="24"/>
          <w:szCs w:val="24"/>
        </w:rPr>
        <w:t>z.ú</w:t>
      </w:r>
      <w:proofErr w:type="spellEnd"/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Dle schválených </w:t>
      </w:r>
      <w:r>
        <w:rPr>
          <w:rFonts w:ascii="Arial" w:hAnsi="Arial" w:cs="Arial"/>
          <w:sz w:val="24"/>
          <w:szCs w:val="24"/>
        </w:rPr>
        <w:t xml:space="preserve">Pravidel pro přijímání změn v aktuálním komunitním plánu se přijatým Návrhem zabývala příslušná pracovní skupina komunitního plánování, tj. </w:t>
      </w:r>
      <w:r w:rsidR="0007796F">
        <w:rPr>
          <w:rFonts w:ascii="Arial" w:hAnsi="Arial" w:cs="Arial"/>
          <w:sz w:val="24"/>
          <w:szCs w:val="24"/>
        </w:rPr>
        <w:t>Občané se zdravotním postižením</w:t>
      </w:r>
      <w:r>
        <w:rPr>
          <w:rFonts w:ascii="Arial" w:hAnsi="Arial" w:cs="Arial"/>
          <w:sz w:val="24"/>
          <w:szCs w:val="24"/>
        </w:rPr>
        <w:t xml:space="preserve">, následně Realizačně manažerský tým komunitního plánování. Dne </w:t>
      </w:r>
      <w:r w:rsidR="0007796F">
        <w:rPr>
          <w:rFonts w:ascii="Arial" w:hAnsi="Arial" w:cs="Arial"/>
          <w:sz w:val="24"/>
          <w:szCs w:val="24"/>
        </w:rPr>
        <w:t>31. 10. 2023</w:t>
      </w:r>
      <w:r>
        <w:rPr>
          <w:rFonts w:ascii="Arial" w:hAnsi="Arial" w:cs="Arial"/>
          <w:sz w:val="24"/>
          <w:szCs w:val="24"/>
        </w:rPr>
        <w:t xml:space="preserve"> byl výše uvedený návrh předložen k projednání Sociální komisi RMO, která přijatý návrh doporučila Radě města Olomouce schválit.</w:t>
      </w:r>
      <w:r w:rsidRPr="00D96963">
        <w:rPr>
          <w:rFonts w:ascii="Arial" w:hAnsi="Arial" w:cs="Arial"/>
          <w:sz w:val="24"/>
          <w:szCs w:val="24"/>
        </w:rPr>
        <w:t xml:space="preserve">   </w:t>
      </w:r>
    </w:p>
    <w:p w:rsidR="00567D31" w:rsidRDefault="00567D31" w:rsidP="00567D31">
      <w:pPr>
        <w:jc w:val="both"/>
        <w:rPr>
          <w:rFonts w:ascii="Arial" w:hAnsi="Arial" w:cs="Arial"/>
          <w:sz w:val="24"/>
          <w:szCs w:val="24"/>
        </w:rPr>
      </w:pPr>
    </w:p>
    <w:p w:rsidR="00567D31" w:rsidRDefault="00567D31" w:rsidP="00567D31">
      <w:pPr>
        <w:jc w:val="both"/>
        <w:rPr>
          <w:rFonts w:ascii="Arial" w:hAnsi="Arial" w:cs="Arial"/>
          <w:sz w:val="24"/>
          <w:szCs w:val="24"/>
        </w:rPr>
      </w:pPr>
      <w:r w:rsidRPr="00C12B82">
        <w:rPr>
          <w:rFonts w:ascii="Arial" w:hAnsi="Arial" w:cs="Arial"/>
          <w:sz w:val="24"/>
          <w:szCs w:val="24"/>
        </w:rPr>
        <w:t>Na základě návrhu do</w:t>
      </w:r>
      <w:r>
        <w:rPr>
          <w:rFonts w:ascii="Arial" w:hAnsi="Arial" w:cs="Arial"/>
          <w:sz w:val="24"/>
          <w:szCs w:val="24"/>
        </w:rPr>
        <w:t>chází</w:t>
      </w:r>
      <w:r w:rsidRPr="00C12B82">
        <w:rPr>
          <w:rFonts w:ascii="Arial" w:hAnsi="Arial" w:cs="Arial"/>
          <w:sz w:val="24"/>
          <w:szCs w:val="24"/>
        </w:rPr>
        <w:t xml:space="preserve"> k </w:t>
      </w:r>
      <w:r w:rsidRPr="00C12B82">
        <w:rPr>
          <w:rFonts w:ascii="Arial" w:hAnsi="Arial" w:cs="Arial"/>
          <w:b/>
          <w:sz w:val="24"/>
          <w:szCs w:val="24"/>
        </w:rPr>
        <w:t xml:space="preserve">doplnění </w:t>
      </w:r>
      <w:r w:rsidR="0007796F" w:rsidRPr="0007796F">
        <w:rPr>
          <w:rFonts w:ascii="Arial" w:hAnsi="Arial" w:cs="Arial"/>
          <w:sz w:val="24"/>
          <w:szCs w:val="24"/>
        </w:rPr>
        <w:t xml:space="preserve">organizace jako dalšího předpokládaného realizátora opatření, a to u Cíle 2.1 Zajištění sítě sociálních služeb pro osoby se zdravotním postižením na území města Olomouce a na území ORP Olomouc, </w:t>
      </w:r>
      <w:r w:rsidR="00443A25" w:rsidRPr="00443A25">
        <w:rPr>
          <w:rFonts w:ascii="Arial" w:hAnsi="Arial" w:cs="Arial"/>
          <w:color w:val="FF0000"/>
          <w:sz w:val="24"/>
          <w:szCs w:val="24"/>
        </w:rPr>
        <w:t xml:space="preserve">Opatření 2.1.1 </w:t>
      </w:r>
      <w:r w:rsidR="00265C46">
        <w:rPr>
          <w:rFonts w:ascii="Arial" w:hAnsi="Arial" w:cs="Arial"/>
          <w:color w:val="FF0000"/>
          <w:sz w:val="24"/>
          <w:szCs w:val="24"/>
        </w:rPr>
        <w:t>Odborné s</w:t>
      </w:r>
      <w:r w:rsidR="00443A25" w:rsidRPr="00443A25">
        <w:rPr>
          <w:rFonts w:ascii="Arial" w:hAnsi="Arial" w:cs="Arial"/>
          <w:color w:val="FF0000"/>
          <w:sz w:val="24"/>
          <w:szCs w:val="24"/>
        </w:rPr>
        <w:t xml:space="preserve">ociální </w:t>
      </w:r>
      <w:r w:rsidR="00265C46">
        <w:rPr>
          <w:rFonts w:ascii="Arial" w:hAnsi="Arial" w:cs="Arial"/>
          <w:color w:val="FF0000"/>
          <w:sz w:val="24"/>
          <w:szCs w:val="24"/>
        </w:rPr>
        <w:t>poradenství</w:t>
      </w:r>
      <w:r w:rsidR="00443A25" w:rsidRPr="00443A25">
        <w:rPr>
          <w:rFonts w:ascii="Arial" w:hAnsi="Arial" w:cs="Arial"/>
          <w:sz w:val="24"/>
          <w:szCs w:val="24"/>
        </w:rPr>
        <w:t xml:space="preserve">. </w:t>
      </w:r>
      <w:r w:rsidR="0007796F" w:rsidRPr="00443A25">
        <w:rPr>
          <w:rFonts w:ascii="Arial" w:hAnsi="Arial" w:cs="Arial"/>
          <w:sz w:val="24"/>
          <w:szCs w:val="24"/>
        </w:rPr>
        <w:t xml:space="preserve">Změny jsou vyznačeny </w:t>
      </w:r>
      <w:r w:rsidR="00791031" w:rsidRPr="00443A25">
        <w:rPr>
          <w:rFonts w:ascii="Arial" w:hAnsi="Arial" w:cs="Arial"/>
          <w:sz w:val="24"/>
          <w:szCs w:val="24"/>
        </w:rPr>
        <w:t>červeně</w:t>
      </w:r>
      <w:r w:rsidR="0007796F">
        <w:rPr>
          <w:rFonts w:ascii="Arial" w:hAnsi="Arial" w:cs="Arial"/>
          <w:sz w:val="24"/>
          <w:szCs w:val="24"/>
        </w:rPr>
        <w:t>.</w:t>
      </w:r>
    </w:p>
    <w:p w:rsidR="002E278D" w:rsidRDefault="002E278D"/>
    <w:p w:rsidR="0007796F" w:rsidRPr="003F5D7F" w:rsidRDefault="0007796F" w:rsidP="0007796F">
      <w:pPr>
        <w:rPr>
          <w:lang w:eastAsia="cs-CZ"/>
        </w:rPr>
      </w:pPr>
    </w:p>
    <w:tbl>
      <w:tblPr>
        <w:tblpPr w:leftFromText="141" w:rightFromText="141" w:vertAnchor="page" w:horzAnchor="margin" w:tblpY="698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6874"/>
      </w:tblGrid>
      <w:tr w:rsidR="00265C46" w:rsidRPr="0007796F" w:rsidTr="00265C46">
        <w:tc>
          <w:tcPr>
            <w:tcW w:w="2268" w:type="dxa"/>
            <w:shd w:val="clear" w:color="auto" w:fill="BDD6EE"/>
          </w:tcPr>
          <w:p w:rsidR="00265C46" w:rsidRPr="0007796F" w:rsidRDefault="00265C46" w:rsidP="00265C46">
            <w:pPr>
              <w:rPr>
                <w:rFonts w:ascii="Arial" w:hAnsi="Arial" w:cs="Arial"/>
                <w:b/>
              </w:rPr>
            </w:pPr>
            <w:r w:rsidRPr="0007796F">
              <w:rPr>
                <w:rFonts w:ascii="Arial" w:hAnsi="Arial" w:cs="Arial"/>
                <w:b/>
              </w:rPr>
              <w:t>Číslo/kód:</w:t>
            </w:r>
          </w:p>
        </w:tc>
        <w:tc>
          <w:tcPr>
            <w:tcW w:w="6874" w:type="dxa"/>
            <w:shd w:val="clear" w:color="auto" w:fill="BDD6EE"/>
          </w:tcPr>
          <w:p w:rsidR="00265C46" w:rsidRPr="0007796F" w:rsidRDefault="00265C46" w:rsidP="00265C46">
            <w:pPr>
              <w:ind w:left="290" w:hanging="290"/>
              <w:rPr>
                <w:rFonts w:ascii="Arial" w:hAnsi="Arial" w:cs="Arial"/>
                <w:b/>
              </w:rPr>
            </w:pPr>
            <w:r w:rsidRPr="0007796F">
              <w:rPr>
                <w:rFonts w:ascii="Arial" w:hAnsi="Arial" w:cs="Arial"/>
                <w:b/>
              </w:rPr>
              <w:t>2.1</w:t>
            </w:r>
          </w:p>
        </w:tc>
      </w:tr>
      <w:tr w:rsidR="00265C46" w:rsidRPr="0007796F" w:rsidTr="00265C46">
        <w:tc>
          <w:tcPr>
            <w:tcW w:w="2268" w:type="dxa"/>
          </w:tcPr>
          <w:p w:rsidR="00265C46" w:rsidRPr="0007796F" w:rsidRDefault="00265C46" w:rsidP="00265C46">
            <w:pPr>
              <w:rPr>
                <w:rFonts w:ascii="Arial" w:hAnsi="Arial" w:cs="Arial"/>
                <w:b/>
              </w:rPr>
            </w:pPr>
            <w:r w:rsidRPr="0007796F">
              <w:rPr>
                <w:rFonts w:ascii="Arial" w:hAnsi="Arial" w:cs="Arial"/>
                <w:b/>
              </w:rPr>
              <w:t>Dílčí cíl:</w:t>
            </w:r>
          </w:p>
          <w:p w:rsidR="00265C46" w:rsidRPr="0007796F" w:rsidRDefault="00265C46" w:rsidP="00265C46">
            <w:pPr>
              <w:rPr>
                <w:rFonts w:ascii="Arial" w:hAnsi="Arial" w:cs="Arial"/>
                <w:b/>
              </w:rPr>
            </w:pPr>
          </w:p>
        </w:tc>
        <w:tc>
          <w:tcPr>
            <w:tcW w:w="6874" w:type="dxa"/>
          </w:tcPr>
          <w:p w:rsidR="00265C46" w:rsidRPr="0007796F" w:rsidRDefault="00265C46" w:rsidP="00265C46">
            <w:pPr>
              <w:rPr>
                <w:rFonts w:ascii="Arial" w:hAnsi="Arial" w:cs="Arial"/>
              </w:rPr>
            </w:pPr>
            <w:r w:rsidRPr="0007796F">
              <w:rPr>
                <w:rFonts w:ascii="Arial" w:hAnsi="Arial" w:cs="Arial"/>
                <w:b/>
              </w:rPr>
              <w:t>Zajištění sítě sociálních služeb pro osoby se zdravotním postižením na území města Olomouce a na území ORP Olomouc</w:t>
            </w:r>
          </w:p>
        </w:tc>
      </w:tr>
      <w:tr w:rsidR="00265C46" w:rsidRPr="0007796F" w:rsidTr="00265C46">
        <w:tc>
          <w:tcPr>
            <w:tcW w:w="2268" w:type="dxa"/>
          </w:tcPr>
          <w:p w:rsidR="00265C46" w:rsidRPr="0007796F" w:rsidRDefault="00265C46" w:rsidP="00265C46">
            <w:pPr>
              <w:rPr>
                <w:rFonts w:ascii="Arial" w:hAnsi="Arial" w:cs="Arial"/>
                <w:b/>
              </w:rPr>
            </w:pPr>
            <w:r w:rsidRPr="0007796F">
              <w:rPr>
                <w:rFonts w:ascii="Arial" w:hAnsi="Arial" w:cs="Arial"/>
                <w:b/>
              </w:rPr>
              <w:t>Charakteristika cíle:</w:t>
            </w:r>
          </w:p>
        </w:tc>
        <w:tc>
          <w:tcPr>
            <w:tcW w:w="6874" w:type="dxa"/>
          </w:tcPr>
          <w:p w:rsidR="00265C46" w:rsidRPr="0007796F" w:rsidRDefault="00265C46" w:rsidP="00265C46">
            <w:pPr>
              <w:rPr>
                <w:rFonts w:ascii="Arial" w:hAnsi="Arial" w:cs="Arial"/>
              </w:rPr>
            </w:pPr>
            <w:r w:rsidRPr="0007796F">
              <w:rPr>
                <w:rFonts w:ascii="Arial" w:hAnsi="Arial" w:cs="Arial"/>
              </w:rPr>
              <w:t>Zajištění sítě sociálních služeb formou registrovaných terénních, ambulantních a pobytových sociálních služeb pro osoby se zdravotním postižením na území města Olomouce a na území ORP Olomouc.</w:t>
            </w:r>
          </w:p>
        </w:tc>
      </w:tr>
      <w:tr w:rsidR="00265C46" w:rsidRPr="0007796F" w:rsidTr="00265C46">
        <w:tc>
          <w:tcPr>
            <w:tcW w:w="2268" w:type="dxa"/>
          </w:tcPr>
          <w:p w:rsidR="00265C46" w:rsidRPr="0007796F" w:rsidRDefault="00265C46" w:rsidP="00265C46">
            <w:pPr>
              <w:rPr>
                <w:rFonts w:ascii="Arial" w:hAnsi="Arial" w:cs="Arial"/>
                <w:b/>
              </w:rPr>
            </w:pPr>
            <w:r w:rsidRPr="0007796F">
              <w:rPr>
                <w:rFonts w:ascii="Arial" w:hAnsi="Arial" w:cs="Arial"/>
                <w:b/>
              </w:rPr>
              <w:t>Opatření, která vedou k naplnění cíle:</w:t>
            </w:r>
          </w:p>
          <w:p w:rsidR="00265C46" w:rsidRPr="0007796F" w:rsidRDefault="00265C46" w:rsidP="00265C46">
            <w:pPr>
              <w:rPr>
                <w:rFonts w:ascii="Arial" w:hAnsi="Arial" w:cs="Arial"/>
                <w:b/>
              </w:rPr>
            </w:pPr>
          </w:p>
        </w:tc>
        <w:tc>
          <w:tcPr>
            <w:tcW w:w="6874" w:type="dxa"/>
          </w:tcPr>
          <w:p w:rsidR="00265C46" w:rsidRPr="00265C46" w:rsidRDefault="00265C46" w:rsidP="00265C46">
            <w:pPr>
              <w:rPr>
                <w:rFonts w:ascii="Arial" w:hAnsi="Arial" w:cs="Arial"/>
                <w:color w:val="FF0000"/>
              </w:rPr>
            </w:pPr>
            <w:r w:rsidRPr="00265C46">
              <w:rPr>
                <w:rFonts w:ascii="Arial" w:hAnsi="Arial" w:cs="Arial"/>
                <w:color w:val="FF0000"/>
              </w:rPr>
              <w:t>2.1.1 Odborné sociální poradenství</w:t>
            </w:r>
          </w:p>
          <w:p w:rsidR="00265C46" w:rsidRPr="0007796F" w:rsidRDefault="00265C46" w:rsidP="00265C46">
            <w:pPr>
              <w:rPr>
                <w:rFonts w:ascii="Arial" w:hAnsi="Arial" w:cs="Arial"/>
              </w:rPr>
            </w:pPr>
            <w:r w:rsidRPr="0007796F">
              <w:rPr>
                <w:rFonts w:ascii="Arial" w:hAnsi="Arial" w:cs="Arial"/>
              </w:rPr>
              <w:t>2.1.2 Osobní asistence</w:t>
            </w:r>
          </w:p>
          <w:p w:rsidR="00265C46" w:rsidRPr="00265C46" w:rsidRDefault="00265C46" w:rsidP="00265C46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2.1.3 Podpora samostatného bydlení</w:t>
            </w:r>
          </w:p>
          <w:p w:rsidR="00265C46" w:rsidRPr="00265C46" w:rsidRDefault="00265C46" w:rsidP="00265C46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2.1.4 Denní stacionáře</w:t>
            </w:r>
          </w:p>
          <w:p w:rsidR="00265C46" w:rsidRPr="00265C46" w:rsidRDefault="00265C46" w:rsidP="00265C46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2.1.5 Týdenní stacionáře</w:t>
            </w:r>
          </w:p>
          <w:p w:rsidR="00265C46" w:rsidRPr="00265C46" w:rsidRDefault="00265C46" w:rsidP="00265C46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2.1.6 Domovy pro osoby se zdravotním postižením</w:t>
            </w:r>
          </w:p>
          <w:p w:rsidR="00265C46" w:rsidRPr="00265C46" w:rsidRDefault="00265C46" w:rsidP="00265C46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2.1.7 Chráněné bydlení</w:t>
            </w:r>
          </w:p>
          <w:p w:rsidR="00265C46" w:rsidRPr="00265C46" w:rsidRDefault="00265C46" w:rsidP="00265C46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2.1.8 Raná péče</w:t>
            </w:r>
          </w:p>
          <w:p w:rsidR="00265C46" w:rsidRPr="00265C46" w:rsidRDefault="00265C46" w:rsidP="00265C46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2.1.9 Tlumočnické služby</w:t>
            </w:r>
          </w:p>
          <w:p w:rsidR="00265C46" w:rsidRPr="00265C46" w:rsidRDefault="00265C46" w:rsidP="00265C46">
            <w:pPr>
              <w:rPr>
                <w:rFonts w:ascii="Arial" w:hAnsi="Arial" w:cs="Arial"/>
              </w:rPr>
            </w:pPr>
            <w:proofErr w:type="gramStart"/>
            <w:r w:rsidRPr="00265C46">
              <w:rPr>
                <w:rFonts w:ascii="Arial" w:hAnsi="Arial" w:cs="Arial"/>
              </w:rPr>
              <w:t>2.1.10</w:t>
            </w:r>
            <w:proofErr w:type="gramEnd"/>
            <w:r w:rsidRPr="00265C46">
              <w:rPr>
                <w:rFonts w:ascii="Arial" w:hAnsi="Arial" w:cs="Arial"/>
              </w:rPr>
              <w:t xml:space="preserve"> Sociálně aktivizační služby pro seniory a osoby se zdravotním postižením</w:t>
            </w:r>
          </w:p>
          <w:p w:rsidR="00265C46" w:rsidRPr="00265C46" w:rsidRDefault="00265C46" w:rsidP="00265C46">
            <w:pPr>
              <w:rPr>
                <w:rFonts w:ascii="Arial" w:hAnsi="Arial" w:cs="Arial"/>
              </w:rPr>
            </w:pPr>
            <w:proofErr w:type="gramStart"/>
            <w:r w:rsidRPr="00265C46">
              <w:rPr>
                <w:rFonts w:ascii="Arial" w:hAnsi="Arial" w:cs="Arial"/>
              </w:rPr>
              <w:t>2.1.11</w:t>
            </w:r>
            <w:proofErr w:type="gramEnd"/>
            <w:r w:rsidRPr="00265C46">
              <w:rPr>
                <w:rFonts w:ascii="Arial" w:hAnsi="Arial" w:cs="Arial"/>
              </w:rPr>
              <w:t xml:space="preserve"> Sociálně terapeutické dílny</w:t>
            </w:r>
          </w:p>
          <w:p w:rsidR="00265C46" w:rsidRPr="00265C46" w:rsidRDefault="00265C46" w:rsidP="00265C46">
            <w:pPr>
              <w:rPr>
                <w:rFonts w:ascii="Arial" w:hAnsi="Arial" w:cs="Arial"/>
              </w:rPr>
            </w:pPr>
            <w:proofErr w:type="gramStart"/>
            <w:r w:rsidRPr="00265C46">
              <w:rPr>
                <w:rFonts w:ascii="Arial" w:hAnsi="Arial" w:cs="Arial"/>
              </w:rPr>
              <w:t>2.1.12</w:t>
            </w:r>
            <w:proofErr w:type="gramEnd"/>
            <w:r w:rsidRPr="00265C46">
              <w:rPr>
                <w:rFonts w:ascii="Arial" w:hAnsi="Arial" w:cs="Arial"/>
              </w:rPr>
              <w:t xml:space="preserve"> Sociální rehabilitace</w:t>
            </w:r>
          </w:p>
          <w:p w:rsidR="00265C46" w:rsidRPr="0007796F" w:rsidRDefault="00265C46" w:rsidP="00265C46">
            <w:pPr>
              <w:rPr>
                <w:rFonts w:ascii="Arial" w:hAnsi="Arial" w:cs="Arial"/>
              </w:rPr>
            </w:pPr>
            <w:proofErr w:type="gramStart"/>
            <w:r w:rsidRPr="0007796F">
              <w:rPr>
                <w:rFonts w:ascii="Arial" w:hAnsi="Arial" w:cs="Arial"/>
              </w:rPr>
              <w:t>2.1.13</w:t>
            </w:r>
            <w:proofErr w:type="gramEnd"/>
            <w:r w:rsidRPr="0007796F">
              <w:rPr>
                <w:rFonts w:ascii="Arial" w:hAnsi="Arial" w:cs="Arial"/>
              </w:rPr>
              <w:t xml:space="preserve"> Odlehčovací služba</w:t>
            </w:r>
          </w:p>
        </w:tc>
      </w:tr>
    </w:tbl>
    <w:p w:rsidR="00443A25" w:rsidRDefault="00443A25"/>
    <w:p w:rsidR="00443A25" w:rsidRDefault="00443A25"/>
    <w:tbl>
      <w:tblPr>
        <w:tblW w:w="9169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3"/>
        <w:gridCol w:w="2137"/>
        <w:gridCol w:w="6669"/>
      </w:tblGrid>
      <w:tr w:rsidR="00265C46" w:rsidRPr="00265C46" w:rsidTr="00C103C1">
        <w:trPr>
          <w:cantSplit/>
        </w:trPr>
        <w:tc>
          <w:tcPr>
            <w:tcW w:w="343" w:type="dxa"/>
            <w:shd w:val="clear" w:color="auto" w:fill="BDD6EE"/>
          </w:tcPr>
          <w:p w:rsidR="00265C46" w:rsidRPr="00265C46" w:rsidRDefault="00265C46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C4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137" w:type="dxa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Kód opatření:</w:t>
            </w:r>
          </w:p>
        </w:tc>
        <w:tc>
          <w:tcPr>
            <w:tcW w:w="0" w:type="auto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2.1.1</w:t>
            </w:r>
          </w:p>
        </w:tc>
      </w:tr>
      <w:tr w:rsidR="00265C46" w:rsidRPr="00265C46" w:rsidTr="00C103C1">
        <w:trPr>
          <w:cantSplit/>
        </w:trPr>
        <w:tc>
          <w:tcPr>
            <w:tcW w:w="343" w:type="dxa"/>
            <w:shd w:val="clear" w:color="auto" w:fill="BDD6EE"/>
          </w:tcPr>
          <w:p w:rsidR="00265C46" w:rsidRPr="00265C46" w:rsidRDefault="00265C46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C4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37" w:type="dxa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Název opatření:</w:t>
            </w:r>
          </w:p>
        </w:tc>
        <w:tc>
          <w:tcPr>
            <w:tcW w:w="0" w:type="auto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Odborné sociální poradenství</w:t>
            </w:r>
          </w:p>
        </w:tc>
      </w:tr>
      <w:tr w:rsidR="00265C46" w:rsidRPr="00265C46" w:rsidTr="00C103C1">
        <w:trPr>
          <w:cantSplit/>
        </w:trPr>
        <w:tc>
          <w:tcPr>
            <w:tcW w:w="343" w:type="dxa"/>
            <w:shd w:val="clear" w:color="auto" w:fill="BDD6EE"/>
          </w:tcPr>
          <w:p w:rsidR="00265C46" w:rsidRPr="00265C46" w:rsidRDefault="00265C46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C4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137" w:type="dxa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Charakteristika opatření:</w:t>
            </w:r>
          </w:p>
        </w:tc>
        <w:tc>
          <w:tcPr>
            <w:tcW w:w="0" w:type="auto"/>
          </w:tcPr>
          <w:p w:rsidR="00265C46" w:rsidRPr="00265C46" w:rsidRDefault="00265C46" w:rsidP="00C103C1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Opatření směřuje k zajištění služeb odborného sociálního poradenství pro osoby s tělesným, sluchovým, zrakovým, mentálním a kombinovaným postižením.</w:t>
            </w:r>
          </w:p>
        </w:tc>
      </w:tr>
      <w:tr w:rsidR="00265C46" w:rsidRPr="00265C46" w:rsidTr="00C103C1">
        <w:trPr>
          <w:cantSplit/>
          <w:trHeight w:val="116"/>
        </w:trPr>
        <w:tc>
          <w:tcPr>
            <w:tcW w:w="343" w:type="dxa"/>
            <w:shd w:val="clear" w:color="auto" w:fill="BDD6EE"/>
          </w:tcPr>
          <w:p w:rsidR="00265C46" w:rsidRPr="00265C46" w:rsidRDefault="00265C46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7" w:type="dxa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0" w:type="auto"/>
          </w:tcPr>
          <w:p w:rsidR="00265C46" w:rsidRPr="00265C46" w:rsidRDefault="00265C46" w:rsidP="00C103C1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11 osoby s chronickým duševním postižením, 13 osoby s jiným zdravotním postižením, 14 osoby s kombinovaným postižením, 15 osoby s mentálním postižením, 16 osoby s tělesným postižením, 17 osoby se sluchovým postižením, 19 osoby se zrakovým postižením, 25 senioři</w:t>
            </w:r>
          </w:p>
        </w:tc>
      </w:tr>
      <w:tr w:rsidR="00265C46" w:rsidRPr="00265C46" w:rsidTr="00C103C1">
        <w:trPr>
          <w:cantSplit/>
          <w:trHeight w:val="116"/>
        </w:trPr>
        <w:tc>
          <w:tcPr>
            <w:tcW w:w="343" w:type="dxa"/>
            <w:shd w:val="clear" w:color="auto" w:fill="BDD6EE"/>
          </w:tcPr>
          <w:p w:rsidR="00265C46" w:rsidRPr="00265C46" w:rsidRDefault="00265C46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7" w:type="dxa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Druh služby</w:t>
            </w:r>
          </w:p>
        </w:tc>
        <w:tc>
          <w:tcPr>
            <w:tcW w:w="0" w:type="auto"/>
          </w:tcPr>
          <w:p w:rsidR="00265C46" w:rsidRPr="00265C46" w:rsidRDefault="00265C46" w:rsidP="00C103C1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25 Sociální poradenství (§ 37)</w:t>
            </w:r>
          </w:p>
        </w:tc>
      </w:tr>
      <w:tr w:rsidR="00265C46" w:rsidRPr="00265C46" w:rsidTr="00C103C1">
        <w:trPr>
          <w:cantSplit/>
          <w:trHeight w:val="116"/>
        </w:trPr>
        <w:tc>
          <w:tcPr>
            <w:tcW w:w="343" w:type="dxa"/>
            <w:shd w:val="clear" w:color="auto" w:fill="BDD6EE"/>
          </w:tcPr>
          <w:p w:rsidR="00265C46" w:rsidRPr="00265C46" w:rsidRDefault="00265C46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7" w:type="dxa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Forma služby</w:t>
            </w:r>
          </w:p>
        </w:tc>
        <w:tc>
          <w:tcPr>
            <w:tcW w:w="0" w:type="auto"/>
          </w:tcPr>
          <w:p w:rsidR="00265C46" w:rsidRPr="00265C46" w:rsidRDefault="00265C46" w:rsidP="00C103C1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1 terénní, 2 ambulantní</w:t>
            </w:r>
          </w:p>
        </w:tc>
      </w:tr>
      <w:tr w:rsidR="00265C46" w:rsidRPr="00265C46" w:rsidTr="00C103C1">
        <w:trPr>
          <w:cantSplit/>
          <w:trHeight w:val="116"/>
        </w:trPr>
        <w:tc>
          <w:tcPr>
            <w:tcW w:w="343" w:type="dxa"/>
            <w:shd w:val="clear" w:color="auto" w:fill="BDD6EE"/>
          </w:tcPr>
          <w:p w:rsidR="00265C46" w:rsidRPr="00265C46" w:rsidRDefault="00265C46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C4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37" w:type="dxa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Vymezení územního dopadu opatření:</w:t>
            </w:r>
          </w:p>
        </w:tc>
        <w:tc>
          <w:tcPr>
            <w:tcW w:w="0" w:type="auto"/>
          </w:tcPr>
          <w:p w:rsidR="00265C46" w:rsidRPr="00265C46" w:rsidRDefault="00265C46" w:rsidP="00C103C1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území ORP Olomouc</w:t>
            </w:r>
          </w:p>
        </w:tc>
      </w:tr>
      <w:tr w:rsidR="00265C46" w:rsidRPr="00265C46" w:rsidTr="00C103C1">
        <w:trPr>
          <w:cantSplit/>
        </w:trPr>
        <w:tc>
          <w:tcPr>
            <w:tcW w:w="343" w:type="dxa"/>
            <w:shd w:val="clear" w:color="auto" w:fill="BDD6EE"/>
          </w:tcPr>
          <w:p w:rsidR="00265C46" w:rsidRPr="00265C46" w:rsidRDefault="00265C46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C46">
              <w:rPr>
                <w:rFonts w:ascii="Arial" w:hAnsi="Arial" w:cs="Arial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137" w:type="dxa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Předpokládané dopady opatření:</w:t>
            </w:r>
          </w:p>
        </w:tc>
        <w:tc>
          <w:tcPr>
            <w:tcW w:w="0" w:type="auto"/>
          </w:tcPr>
          <w:p w:rsidR="00265C46" w:rsidRPr="00265C46" w:rsidRDefault="00265C46" w:rsidP="00265C46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prevence sociálního vyloučení u osob s postižením</w:t>
            </w:r>
          </w:p>
          <w:p w:rsidR="00265C46" w:rsidRPr="00265C46" w:rsidRDefault="00265C46" w:rsidP="00265C46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 xml:space="preserve">zvýšení informovanosti osob s postižením, </w:t>
            </w:r>
            <w:r w:rsidRPr="00265C46">
              <w:rPr>
                <w:rFonts w:ascii="Arial" w:hAnsi="Arial" w:cs="Arial"/>
                <w:color w:val="FF0000"/>
              </w:rPr>
              <w:t>osob trpících nevyléčitelnou nemocí</w:t>
            </w:r>
          </w:p>
          <w:p w:rsidR="00265C46" w:rsidRPr="00265C46" w:rsidRDefault="00265C46" w:rsidP="00265C46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zlepšení kvality života osob v </w:t>
            </w:r>
            <w:proofErr w:type="spellStart"/>
            <w:r w:rsidRPr="00265C46">
              <w:rPr>
                <w:rFonts w:ascii="Arial" w:hAnsi="Arial" w:cs="Arial"/>
              </w:rPr>
              <w:t>preterminální</w:t>
            </w:r>
            <w:proofErr w:type="spellEnd"/>
            <w:r w:rsidRPr="00265C46">
              <w:rPr>
                <w:rFonts w:ascii="Arial" w:hAnsi="Arial" w:cs="Arial"/>
              </w:rPr>
              <w:t xml:space="preserve"> či terminální fázi života</w:t>
            </w:r>
          </w:p>
          <w:p w:rsidR="00265C46" w:rsidRPr="00265C46" w:rsidRDefault="00265C46" w:rsidP="00265C46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osoby s postižením i osoby v paliativní péči mají v případě potřeby zajištěny kompenzační pomůcky formou provozu půjčoven</w:t>
            </w:r>
          </w:p>
          <w:p w:rsidR="00265C46" w:rsidRPr="00265C46" w:rsidRDefault="00265C46" w:rsidP="00265C46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větší možnosti uplatnění na trhu práce osob se zdravotním postižením, udržení si pracovního místa</w:t>
            </w:r>
          </w:p>
        </w:tc>
      </w:tr>
      <w:tr w:rsidR="00265C46" w:rsidRPr="00265C46" w:rsidTr="00C103C1">
        <w:trPr>
          <w:cantSplit/>
        </w:trPr>
        <w:tc>
          <w:tcPr>
            <w:tcW w:w="343" w:type="dxa"/>
            <w:shd w:val="clear" w:color="auto" w:fill="BDD6EE"/>
          </w:tcPr>
          <w:p w:rsidR="00265C46" w:rsidRPr="00265C46" w:rsidRDefault="00265C46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C4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37" w:type="dxa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Rizika a ohrožení naplnění opatření:</w:t>
            </w:r>
          </w:p>
        </w:tc>
        <w:tc>
          <w:tcPr>
            <w:tcW w:w="0" w:type="auto"/>
          </w:tcPr>
          <w:p w:rsidR="00265C46" w:rsidRPr="00265C46" w:rsidRDefault="00265C46" w:rsidP="00265C46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nedostatek finančních prostředků na službu</w:t>
            </w:r>
          </w:p>
          <w:p w:rsidR="00265C46" w:rsidRPr="00265C46" w:rsidRDefault="00265C46" w:rsidP="00265C46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nedostatečné mzdové ohodnocení pracovníků v přímé péči</w:t>
            </w:r>
          </w:p>
          <w:p w:rsidR="00265C46" w:rsidRPr="00265C46" w:rsidRDefault="00265C46" w:rsidP="00265C46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výrazná změna legislativy</w:t>
            </w:r>
          </w:p>
          <w:p w:rsidR="00265C46" w:rsidRPr="00265C46" w:rsidRDefault="00265C46" w:rsidP="00265C46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nedostatek kvalifikovaných pracovníků (neznalost znakového jazyka)</w:t>
            </w:r>
          </w:p>
          <w:p w:rsidR="00265C46" w:rsidRPr="00265C46" w:rsidRDefault="00265C46" w:rsidP="00265C46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nezájem a neinformovanost potenciálních uživatelů o službu</w:t>
            </w:r>
          </w:p>
          <w:p w:rsidR="00265C46" w:rsidRPr="00265C46" w:rsidRDefault="00265C46" w:rsidP="00265C46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nedostatečná propagace služby</w:t>
            </w:r>
          </w:p>
          <w:p w:rsidR="00265C46" w:rsidRPr="00265C46" w:rsidRDefault="00265C46" w:rsidP="00265C46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omezení vyplývající z nepříznivé epidemické situace</w:t>
            </w:r>
          </w:p>
        </w:tc>
      </w:tr>
      <w:tr w:rsidR="00265C46" w:rsidRPr="00265C46" w:rsidTr="00C103C1">
        <w:trPr>
          <w:cantSplit/>
        </w:trPr>
        <w:tc>
          <w:tcPr>
            <w:tcW w:w="343" w:type="dxa"/>
            <w:shd w:val="clear" w:color="auto" w:fill="BDD6EE"/>
          </w:tcPr>
          <w:p w:rsidR="00265C46" w:rsidRPr="00265C46" w:rsidRDefault="00265C46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C4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137" w:type="dxa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Aktivity vedoucí k naplnění opatření:</w:t>
            </w:r>
          </w:p>
        </w:tc>
        <w:tc>
          <w:tcPr>
            <w:tcW w:w="0" w:type="auto"/>
          </w:tcPr>
          <w:p w:rsidR="00265C46" w:rsidRPr="00265C46" w:rsidRDefault="00265C46" w:rsidP="00265C46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poskytování sociální služby odborné sociální poradenství</w:t>
            </w:r>
          </w:p>
          <w:p w:rsidR="00265C46" w:rsidRPr="00265C46" w:rsidRDefault="00265C46" w:rsidP="00265C46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zajištění finančních prostředků na provoz služby ve stávajícím rozsahu a kvalitě</w:t>
            </w:r>
          </w:p>
          <w:p w:rsidR="00265C46" w:rsidRPr="00265C46" w:rsidRDefault="00265C46" w:rsidP="00265C46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průběžné hodnocení kvality a efektivity služby</w:t>
            </w:r>
          </w:p>
          <w:p w:rsidR="00265C46" w:rsidRPr="00265C46" w:rsidRDefault="00265C46" w:rsidP="00265C46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sz w:val="16"/>
              </w:rPr>
            </w:pPr>
            <w:r w:rsidRPr="00265C46">
              <w:rPr>
                <w:rFonts w:ascii="Arial" w:hAnsi="Arial" w:cs="Arial"/>
              </w:rPr>
              <w:t>doporučování vhodné náročné elektronické kompenzační pomůcky</w:t>
            </w:r>
          </w:p>
          <w:p w:rsidR="00265C46" w:rsidRPr="00265C46" w:rsidRDefault="00265C46" w:rsidP="00265C46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informování o možnostech získávání příspěvku na pořízení zvláštní pomůcky, zprostředkování komunikace vedoucí k získání příspěvku na zvláštní pomůcky, vystavení vyjádření klientům pro potřeby jednání s ÚP</w:t>
            </w:r>
          </w:p>
          <w:p w:rsidR="00265C46" w:rsidRPr="00265C46" w:rsidRDefault="00265C46" w:rsidP="00265C46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color w:val="FF0000"/>
              </w:rPr>
            </w:pPr>
            <w:r w:rsidRPr="00265C46">
              <w:rPr>
                <w:rFonts w:ascii="Arial" w:hAnsi="Arial" w:cs="Arial"/>
                <w:color w:val="FF0000"/>
              </w:rPr>
              <w:t xml:space="preserve">zprostředkování psychologického poradenství, individuální poradenství </w:t>
            </w:r>
          </w:p>
          <w:p w:rsidR="00265C46" w:rsidRPr="00265C46" w:rsidRDefault="00265C46" w:rsidP="00265C46">
            <w:pPr>
              <w:pStyle w:val="Odstavecseseznamem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0000"/>
              </w:rPr>
            </w:pPr>
            <w:r w:rsidRPr="00265C46">
              <w:rPr>
                <w:rFonts w:ascii="Arial" w:hAnsi="Arial" w:cs="Arial"/>
                <w:color w:val="FF0000"/>
              </w:rPr>
              <w:t>provázení při dlouhodobém nebo komplikovaném truchlení</w:t>
            </w:r>
          </w:p>
          <w:p w:rsidR="00265C46" w:rsidRPr="00265C46" w:rsidRDefault="00265C46" w:rsidP="00265C46">
            <w:pPr>
              <w:pStyle w:val="Odstavecseseznamem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0000"/>
              </w:rPr>
            </w:pPr>
            <w:r w:rsidRPr="00265C46">
              <w:rPr>
                <w:rFonts w:ascii="Arial" w:hAnsi="Arial" w:cs="Arial"/>
                <w:color w:val="FF0000"/>
              </w:rPr>
              <w:t>poradenství a podpora pečujícím a pozůstalostní péče</w:t>
            </w:r>
          </w:p>
          <w:p w:rsidR="00265C46" w:rsidRPr="00265C46" w:rsidRDefault="00265C46" w:rsidP="00265C46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  <w:color w:val="FF0000"/>
              </w:rPr>
              <w:t>informovanost odborné i laické veřejnosti o možnostech v oblasti paliativní péče</w:t>
            </w:r>
          </w:p>
        </w:tc>
      </w:tr>
      <w:tr w:rsidR="00265C46" w:rsidRPr="00265C46" w:rsidTr="00C103C1">
        <w:trPr>
          <w:cantSplit/>
        </w:trPr>
        <w:tc>
          <w:tcPr>
            <w:tcW w:w="343" w:type="dxa"/>
            <w:shd w:val="clear" w:color="auto" w:fill="BDD6EE"/>
          </w:tcPr>
          <w:p w:rsidR="00265C46" w:rsidRPr="00265C46" w:rsidRDefault="00265C46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C4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137" w:type="dxa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Časový harmonogram plnění opatření:</w:t>
            </w:r>
          </w:p>
        </w:tc>
        <w:tc>
          <w:tcPr>
            <w:tcW w:w="0" w:type="auto"/>
          </w:tcPr>
          <w:p w:rsidR="00265C46" w:rsidRPr="00265C46" w:rsidRDefault="00265C46" w:rsidP="00C103C1">
            <w:p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2023 - 2025</w:t>
            </w:r>
          </w:p>
        </w:tc>
      </w:tr>
      <w:tr w:rsidR="00265C46" w:rsidRPr="00265C46" w:rsidTr="00C103C1">
        <w:trPr>
          <w:cantSplit/>
        </w:trPr>
        <w:tc>
          <w:tcPr>
            <w:tcW w:w="343" w:type="dxa"/>
            <w:shd w:val="clear" w:color="auto" w:fill="BDD6EE"/>
          </w:tcPr>
          <w:p w:rsidR="00265C46" w:rsidRPr="00265C46" w:rsidRDefault="00265C46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C4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137" w:type="dxa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Předpokládaná výše finančních nákladů na realizaci opatření:</w:t>
            </w:r>
          </w:p>
        </w:tc>
        <w:tc>
          <w:tcPr>
            <w:tcW w:w="0" w:type="auto"/>
          </w:tcPr>
          <w:p w:rsidR="00265C46" w:rsidRPr="00265C46" w:rsidRDefault="00265C46" w:rsidP="00C103C1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Sjednocená organizace nevidomých a slabozrakých České republiky, zapsaný spolek – oblastní odbočka Olomouc: 220 000 Kč/rok</w:t>
            </w:r>
          </w:p>
          <w:p w:rsidR="00265C46" w:rsidRPr="00265C46" w:rsidRDefault="00265C46" w:rsidP="00C103C1">
            <w:pPr>
              <w:rPr>
                <w:rFonts w:ascii="Arial" w:hAnsi="Arial" w:cs="Arial"/>
              </w:rPr>
            </w:pPr>
            <w:proofErr w:type="spellStart"/>
            <w:r w:rsidRPr="00265C46">
              <w:rPr>
                <w:rFonts w:ascii="Arial" w:hAnsi="Arial" w:cs="Arial"/>
              </w:rPr>
              <w:t>TyfloCentrum</w:t>
            </w:r>
            <w:proofErr w:type="spellEnd"/>
            <w:r w:rsidRPr="00265C46">
              <w:rPr>
                <w:rFonts w:ascii="Arial" w:hAnsi="Arial" w:cs="Arial"/>
              </w:rPr>
              <w:t xml:space="preserve"> Olomouc, o.p.s.: 860 000 Kč/rok</w:t>
            </w:r>
          </w:p>
          <w:p w:rsidR="00265C46" w:rsidRPr="00265C46" w:rsidRDefault="00265C46" w:rsidP="00C103C1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 xml:space="preserve">NRZP </w:t>
            </w:r>
            <w:proofErr w:type="gramStart"/>
            <w:r w:rsidRPr="00265C46">
              <w:rPr>
                <w:rFonts w:ascii="Arial" w:hAnsi="Arial" w:cs="Arial"/>
              </w:rPr>
              <w:t>ČR z.s.</w:t>
            </w:r>
            <w:proofErr w:type="gramEnd"/>
            <w:r w:rsidRPr="00265C46">
              <w:rPr>
                <w:rFonts w:ascii="Arial" w:hAnsi="Arial" w:cs="Arial"/>
              </w:rPr>
              <w:t>, poradna Olomouc, projekt poradenství: 480 000 Kč/rok</w:t>
            </w:r>
          </w:p>
          <w:p w:rsidR="00265C46" w:rsidRPr="00265C46" w:rsidRDefault="00265C46" w:rsidP="00C103C1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Oblastní unie neslyšících Olomouc: 880 000 Kč/rok</w:t>
            </w:r>
          </w:p>
          <w:p w:rsidR="00265C46" w:rsidRPr="00265C46" w:rsidRDefault="00265C46" w:rsidP="00C103C1">
            <w:pPr>
              <w:rPr>
                <w:rFonts w:ascii="Arial" w:hAnsi="Arial" w:cs="Arial"/>
                <w:color w:val="000000"/>
              </w:rPr>
            </w:pPr>
            <w:r w:rsidRPr="00265C46">
              <w:rPr>
                <w:rFonts w:ascii="Arial" w:hAnsi="Arial" w:cs="Arial"/>
                <w:color w:val="000000"/>
              </w:rPr>
              <w:t>Spolek Trend vozíčkářů Olomouc: 1 850 000 Kč/rok</w:t>
            </w:r>
          </w:p>
          <w:p w:rsidR="00265C46" w:rsidRPr="00265C46" w:rsidRDefault="00265C46" w:rsidP="00C103C1">
            <w:pPr>
              <w:rPr>
                <w:rFonts w:ascii="Arial" w:hAnsi="Arial" w:cs="Arial"/>
              </w:rPr>
            </w:pPr>
            <w:proofErr w:type="gramStart"/>
            <w:r w:rsidRPr="00265C46">
              <w:rPr>
                <w:rFonts w:ascii="Arial" w:hAnsi="Arial" w:cs="Arial"/>
              </w:rPr>
              <w:t>z.s.</w:t>
            </w:r>
            <w:proofErr w:type="gramEnd"/>
            <w:r w:rsidRPr="00265C46">
              <w:rPr>
                <w:rFonts w:ascii="Arial" w:hAnsi="Arial" w:cs="Arial"/>
              </w:rPr>
              <w:t xml:space="preserve"> iPoradna: 2 355 500 Kč/rok</w:t>
            </w:r>
          </w:p>
          <w:p w:rsidR="00265C46" w:rsidRPr="00265C46" w:rsidRDefault="00265C46" w:rsidP="00C103C1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  <w:color w:val="FF0000"/>
              </w:rPr>
              <w:t xml:space="preserve">Nejste sami – mobilní </w:t>
            </w:r>
            <w:proofErr w:type="gramStart"/>
            <w:r w:rsidRPr="00265C46">
              <w:rPr>
                <w:rFonts w:ascii="Arial" w:hAnsi="Arial" w:cs="Arial"/>
                <w:color w:val="FF0000"/>
              </w:rPr>
              <w:t xml:space="preserve">hospic, </w:t>
            </w:r>
            <w:proofErr w:type="spellStart"/>
            <w:r w:rsidRPr="00265C46">
              <w:rPr>
                <w:rFonts w:ascii="Arial" w:hAnsi="Arial" w:cs="Arial"/>
                <w:color w:val="FF0000"/>
              </w:rPr>
              <w:t>z.ú</w:t>
            </w:r>
            <w:proofErr w:type="spellEnd"/>
            <w:r w:rsidRPr="00265C46">
              <w:rPr>
                <w:rFonts w:ascii="Arial" w:hAnsi="Arial" w:cs="Arial"/>
                <w:color w:val="FF0000"/>
              </w:rPr>
              <w:t>.:</w:t>
            </w:r>
            <w:proofErr w:type="gramEnd"/>
            <w:r w:rsidRPr="00265C46">
              <w:rPr>
                <w:rFonts w:ascii="Arial" w:hAnsi="Arial" w:cs="Arial"/>
                <w:color w:val="FF0000"/>
              </w:rPr>
              <w:t xml:space="preserve"> 650 000 Kč/rok</w:t>
            </w:r>
          </w:p>
        </w:tc>
      </w:tr>
      <w:tr w:rsidR="00265C46" w:rsidRPr="00265C46" w:rsidTr="00C103C1">
        <w:trPr>
          <w:cantSplit/>
        </w:trPr>
        <w:tc>
          <w:tcPr>
            <w:tcW w:w="343" w:type="dxa"/>
            <w:shd w:val="clear" w:color="auto" w:fill="BDD6EE"/>
          </w:tcPr>
          <w:p w:rsidR="00265C46" w:rsidRPr="00265C46" w:rsidRDefault="00265C46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C4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137" w:type="dxa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Předpokládané finanční zdroje:</w:t>
            </w:r>
          </w:p>
        </w:tc>
        <w:tc>
          <w:tcPr>
            <w:tcW w:w="0" w:type="auto"/>
          </w:tcPr>
          <w:p w:rsidR="00265C46" w:rsidRPr="00265C46" w:rsidRDefault="00265C46" w:rsidP="00C103C1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 xml:space="preserve">MPSV, Olomoucký kraj, </w:t>
            </w:r>
            <w:proofErr w:type="spellStart"/>
            <w:r w:rsidRPr="00265C46">
              <w:rPr>
                <w:rFonts w:ascii="Arial" w:hAnsi="Arial" w:cs="Arial"/>
              </w:rPr>
              <w:t>SMOl</w:t>
            </w:r>
            <w:proofErr w:type="spellEnd"/>
            <w:r w:rsidRPr="00265C46">
              <w:rPr>
                <w:rFonts w:ascii="Arial" w:hAnsi="Arial" w:cs="Arial"/>
              </w:rPr>
              <w:t>, Úřad práce ČR, nadace, dary, sponzoři, sbírky</w:t>
            </w:r>
          </w:p>
        </w:tc>
      </w:tr>
      <w:tr w:rsidR="00265C46" w:rsidRPr="00265C46" w:rsidTr="00C103C1">
        <w:trPr>
          <w:cantSplit/>
        </w:trPr>
        <w:tc>
          <w:tcPr>
            <w:tcW w:w="343" w:type="dxa"/>
            <w:shd w:val="clear" w:color="auto" w:fill="BDD6EE"/>
          </w:tcPr>
          <w:p w:rsidR="00265C46" w:rsidRPr="00265C46" w:rsidRDefault="00265C46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C4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2137" w:type="dxa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Předpokládaní realizátoři a partneři opatření:</w:t>
            </w:r>
          </w:p>
        </w:tc>
        <w:tc>
          <w:tcPr>
            <w:tcW w:w="0" w:type="auto"/>
          </w:tcPr>
          <w:p w:rsidR="00265C46" w:rsidRPr="00265C46" w:rsidRDefault="00265C46" w:rsidP="00C103C1">
            <w:pPr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  <w:b/>
              </w:rPr>
              <w:t>Realizátor</w:t>
            </w:r>
            <w:r w:rsidRPr="00265C46">
              <w:rPr>
                <w:rFonts w:ascii="Arial" w:hAnsi="Arial" w:cs="Arial"/>
              </w:rPr>
              <w:t xml:space="preserve">: Sjednocená organizace nevidomých a slabozrakých České republiky, zapsaný spolek – oblastní odbočka Olomouc, </w:t>
            </w:r>
            <w:proofErr w:type="spellStart"/>
            <w:r w:rsidRPr="00265C46">
              <w:rPr>
                <w:rFonts w:ascii="Arial" w:hAnsi="Arial" w:cs="Arial"/>
              </w:rPr>
              <w:t>TyfloCentrum</w:t>
            </w:r>
            <w:proofErr w:type="spellEnd"/>
            <w:r w:rsidRPr="00265C46">
              <w:rPr>
                <w:rFonts w:ascii="Arial" w:hAnsi="Arial" w:cs="Arial"/>
              </w:rPr>
              <w:t xml:space="preserve"> Olomouc, o.p.s, </w:t>
            </w:r>
            <w:r w:rsidRPr="00265C46">
              <w:rPr>
                <w:rFonts w:ascii="Arial" w:hAnsi="Arial" w:cs="Arial"/>
                <w:color w:val="000000"/>
              </w:rPr>
              <w:t xml:space="preserve">Spolek Trend vozíčkářů </w:t>
            </w:r>
            <w:proofErr w:type="gramStart"/>
            <w:r w:rsidRPr="00265C46">
              <w:rPr>
                <w:rFonts w:ascii="Arial" w:hAnsi="Arial" w:cs="Arial"/>
                <w:color w:val="000000"/>
              </w:rPr>
              <w:t xml:space="preserve">Olomouc, </w:t>
            </w:r>
            <w:r w:rsidRPr="00265C46">
              <w:rPr>
                <w:rFonts w:ascii="Arial" w:hAnsi="Arial" w:cs="Arial"/>
              </w:rPr>
              <w:t>z.s.</w:t>
            </w:r>
            <w:proofErr w:type="gramEnd"/>
            <w:r w:rsidRPr="00265C46">
              <w:rPr>
                <w:rFonts w:ascii="Arial" w:hAnsi="Arial" w:cs="Arial"/>
              </w:rPr>
              <w:t xml:space="preserve"> iPoradna, , Oblastní unie neslyšících Olomouc, NRZP ČR z.s., poradna Olomouc, projekt poradenství, </w:t>
            </w:r>
            <w:r w:rsidRPr="00265C46">
              <w:rPr>
                <w:rFonts w:ascii="Arial" w:hAnsi="Arial" w:cs="Arial"/>
                <w:color w:val="FF0000"/>
              </w:rPr>
              <w:t xml:space="preserve">Nejste sami – mobilní hospic, </w:t>
            </w:r>
            <w:proofErr w:type="spellStart"/>
            <w:r w:rsidRPr="00265C46">
              <w:rPr>
                <w:rFonts w:ascii="Arial" w:hAnsi="Arial" w:cs="Arial"/>
                <w:color w:val="FF0000"/>
              </w:rPr>
              <w:t>z.ú</w:t>
            </w:r>
            <w:proofErr w:type="spellEnd"/>
            <w:r w:rsidRPr="00265C46">
              <w:rPr>
                <w:rFonts w:ascii="Arial" w:hAnsi="Arial" w:cs="Arial"/>
                <w:color w:val="FF0000"/>
              </w:rPr>
              <w:t>.</w:t>
            </w:r>
          </w:p>
        </w:tc>
      </w:tr>
      <w:tr w:rsidR="00265C46" w:rsidRPr="00265C46" w:rsidTr="00C103C1">
        <w:trPr>
          <w:cantSplit/>
        </w:trPr>
        <w:tc>
          <w:tcPr>
            <w:tcW w:w="343" w:type="dxa"/>
            <w:shd w:val="clear" w:color="auto" w:fill="BDD6EE"/>
          </w:tcPr>
          <w:p w:rsidR="00265C46" w:rsidRPr="00265C46" w:rsidRDefault="00265C46" w:rsidP="00C10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C46">
              <w:rPr>
                <w:rFonts w:ascii="Arial" w:hAnsi="Arial" w:cs="Arial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2137" w:type="dxa"/>
            <w:shd w:val="clear" w:color="auto" w:fill="BDD6EE"/>
          </w:tcPr>
          <w:p w:rsidR="00265C46" w:rsidRPr="00265C46" w:rsidRDefault="00265C46" w:rsidP="00C103C1">
            <w:pPr>
              <w:rPr>
                <w:rFonts w:ascii="Arial" w:hAnsi="Arial" w:cs="Arial"/>
                <w:b/>
              </w:rPr>
            </w:pPr>
            <w:r w:rsidRPr="00265C46">
              <w:rPr>
                <w:rFonts w:ascii="Arial" w:hAnsi="Arial" w:cs="Arial"/>
                <w:b/>
              </w:rPr>
              <w:t>Hodnotící indikátory výstupů a výsledků:</w:t>
            </w:r>
          </w:p>
        </w:tc>
        <w:tc>
          <w:tcPr>
            <w:tcW w:w="0" w:type="auto"/>
          </w:tcPr>
          <w:p w:rsidR="00265C46" w:rsidRPr="00265C46" w:rsidRDefault="00265C46" w:rsidP="00C103C1">
            <w:p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Sjednocená organizace nevidomých a slabozrakých České republiky, zapsaný spolek – oblastní odbočka Olomouc</w:t>
            </w:r>
          </w:p>
          <w:p w:rsidR="00265C46" w:rsidRPr="00265C46" w:rsidRDefault="00265C46" w:rsidP="00265C46">
            <w:pPr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70 osob/rok</w:t>
            </w:r>
          </w:p>
          <w:p w:rsidR="00265C46" w:rsidRPr="00265C46" w:rsidRDefault="00265C46" w:rsidP="00C103C1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265C46">
              <w:rPr>
                <w:rFonts w:ascii="Arial" w:hAnsi="Arial" w:cs="Arial"/>
              </w:rPr>
              <w:t>TyfloCentrum</w:t>
            </w:r>
            <w:proofErr w:type="spellEnd"/>
            <w:r w:rsidRPr="00265C46">
              <w:rPr>
                <w:rFonts w:ascii="Arial" w:hAnsi="Arial" w:cs="Arial"/>
              </w:rPr>
              <w:t xml:space="preserve"> Olomouc, o. p. s.</w:t>
            </w:r>
          </w:p>
          <w:p w:rsidR="00265C46" w:rsidRPr="00265C46" w:rsidRDefault="00265C46" w:rsidP="00265C46">
            <w:pPr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300 osob/rok, 60 písemných vyjádření pro ÚP/rok</w:t>
            </w:r>
          </w:p>
          <w:p w:rsidR="00265C46" w:rsidRPr="00265C46" w:rsidRDefault="00265C46" w:rsidP="00265C46">
            <w:pPr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4 zapůjčené pomůcky/rok</w:t>
            </w:r>
          </w:p>
          <w:p w:rsidR="00265C46" w:rsidRPr="00265C46" w:rsidRDefault="00265C46" w:rsidP="00C103C1">
            <w:p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 xml:space="preserve">NRZP </w:t>
            </w:r>
            <w:proofErr w:type="gramStart"/>
            <w:r w:rsidRPr="00265C46">
              <w:rPr>
                <w:rFonts w:ascii="Arial" w:hAnsi="Arial" w:cs="Arial"/>
              </w:rPr>
              <w:t>ČR z.s.</w:t>
            </w:r>
            <w:proofErr w:type="gramEnd"/>
            <w:r w:rsidRPr="00265C46">
              <w:rPr>
                <w:rFonts w:ascii="Arial" w:hAnsi="Arial" w:cs="Arial"/>
              </w:rPr>
              <w:t>, poradna Olomouc, projekt poradenství</w:t>
            </w:r>
          </w:p>
          <w:p w:rsidR="00265C46" w:rsidRPr="00265C46" w:rsidRDefault="00265C46" w:rsidP="00265C46">
            <w:pPr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160 osob/rok</w:t>
            </w:r>
          </w:p>
          <w:p w:rsidR="00265C46" w:rsidRPr="00265C46" w:rsidRDefault="00265C46" w:rsidP="00C103C1">
            <w:p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Oblastní unie neslyšících Olomouc</w:t>
            </w:r>
          </w:p>
          <w:p w:rsidR="00265C46" w:rsidRPr="00265C46" w:rsidRDefault="00265C46" w:rsidP="00265C46">
            <w:pPr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60 osob/rok</w:t>
            </w:r>
          </w:p>
          <w:p w:rsidR="00265C46" w:rsidRPr="00265C46" w:rsidRDefault="00265C46" w:rsidP="00C103C1">
            <w:p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  <w:color w:val="000000"/>
              </w:rPr>
              <w:t>Spolek Trend vozíčkářů Olomouc</w:t>
            </w:r>
          </w:p>
          <w:p w:rsidR="00265C46" w:rsidRPr="00265C46" w:rsidRDefault="00265C46" w:rsidP="00265C46">
            <w:pPr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150 osob/rok, 80 výpůjček kompenzačních pomůcek/rok</w:t>
            </w:r>
          </w:p>
          <w:p w:rsidR="00265C46" w:rsidRPr="00265C46" w:rsidRDefault="00265C46" w:rsidP="00C103C1">
            <w:pPr>
              <w:suppressAutoHyphens w:val="0"/>
              <w:rPr>
                <w:rFonts w:ascii="Arial" w:hAnsi="Arial" w:cs="Arial"/>
              </w:rPr>
            </w:pPr>
            <w:proofErr w:type="gramStart"/>
            <w:r w:rsidRPr="00265C46">
              <w:rPr>
                <w:rFonts w:ascii="Arial" w:hAnsi="Arial" w:cs="Arial"/>
              </w:rPr>
              <w:t>z.s.</w:t>
            </w:r>
            <w:proofErr w:type="gramEnd"/>
            <w:r w:rsidRPr="00265C46">
              <w:rPr>
                <w:rFonts w:ascii="Arial" w:hAnsi="Arial" w:cs="Arial"/>
              </w:rPr>
              <w:t xml:space="preserve"> iPoradna</w:t>
            </w:r>
          </w:p>
          <w:p w:rsidR="00265C46" w:rsidRPr="00265C46" w:rsidRDefault="00265C46" w:rsidP="00265C46">
            <w:pPr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</w:rPr>
            </w:pPr>
            <w:r w:rsidRPr="00265C46">
              <w:rPr>
                <w:rFonts w:ascii="Arial" w:hAnsi="Arial" w:cs="Arial"/>
              </w:rPr>
              <w:t>80 osob/rok, 500 dotazů/rok</w:t>
            </w:r>
          </w:p>
          <w:p w:rsidR="00265C46" w:rsidRPr="00265C46" w:rsidRDefault="00265C46" w:rsidP="00C103C1">
            <w:pPr>
              <w:suppressAutoHyphens w:val="0"/>
              <w:rPr>
                <w:rFonts w:ascii="Arial" w:hAnsi="Arial" w:cs="Arial"/>
                <w:color w:val="FF0000"/>
              </w:rPr>
            </w:pPr>
            <w:r w:rsidRPr="00265C46">
              <w:rPr>
                <w:rFonts w:ascii="Arial" w:hAnsi="Arial" w:cs="Arial"/>
                <w:color w:val="FF0000"/>
              </w:rPr>
              <w:t xml:space="preserve">Nejste sami – mobilní </w:t>
            </w:r>
            <w:proofErr w:type="gramStart"/>
            <w:r w:rsidRPr="00265C46">
              <w:rPr>
                <w:rFonts w:ascii="Arial" w:hAnsi="Arial" w:cs="Arial"/>
                <w:color w:val="FF0000"/>
              </w:rPr>
              <w:t xml:space="preserve">hospic, </w:t>
            </w:r>
            <w:proofErr w:type="spellStart"/>
            <w:r w:rsidRPr="00265C46">
              <w:rPr>
                <w:rFonts w:ascii="Arial" w:hAnsi="Arial" w:cs="Arial"/>
                <w:color w:val="FF0000"/>
              </w:rPr>
              <w:t>z.ú</w:t>
            </w:r>
            <w:proofErr w:type="spellEnd"/>
            <w:r w:rsidRPr="00265C46">
              <w:rPr>
                <w:rFonts w:ascii="Arial" w:hAnsi="Arial" w:cs="Arial"/>
                <w:color w:val="FF0000"/>
              </w:rPr>
              <w:t>.</w:t>
            </w:r>
            <w:proofErr w:type="gramEnd"/>
          </w:p>
          <w:p w:rsidR="00265C46" w:rsidRPr="00265C46" w:rsidRDefault="00265C46" w:rsidP="00265C46">
            <w:pPr>
              <w:pStyle w:val="Odstavecseseznamem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</w:rPr>
            </w:pPr>
            <w:r w:rsidRPr="00265C46">
              <w:rPr>
                <w:rFonts w:ascii="Arial" w:hAnsi="Arial" w:cs="Arial"/>
                <w:color w:val="000000"/>
              </w:rPr>
              <w:t>130 osob/ rok</w:t>
            </w:r>
          </w:p>
          <w:p w:rsidR="00265C46" w:rsidRPr="00265C46" w:rsidRDefault="00265C46" w:rsidP="00265C46">
            <w:pPr>
              <w:pStyle w:val="Odstavecseseznamem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Cs w:val="24"/>
              </w:rPr>
            </w:pPr>
            <w:r w:rsidRPr="00265C46">
              <w:rPr>
                <w:rFonts w:ascii="Arial" w:hAnsi="Arial" w:cs="Arial"/>
                <w:color w:val="000000"/>
              </w:rPr>
              <w:t>78 zapůjčené pomůcky/rok</w:t>
            </w:r>
          </w:p>
        </w:tc>
      </w:tr>
    </w:tbl>
    <w:p w:rsidR="00265C46" w:rsidRDefault="00265C46"/>
    <w:sectPr w:rsidR="00265C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0B" w:rsidRDefault="00DB390B" w:rsidP="00DB390B">
      <w:r>
        <w:separator/>
      </w:r>
    </w:p>
  </w:endnote>
  <w:endnote w:type="continuationSeparator" w:id="0">
    <w:p w:rsidR="00DB390B" w:rsidRDefault="00DB390B" w:rsidP="00DB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90627"/>
      <w:docPartObj>
        <w:docPartGallery w:val="Page Numbers (Bottom of Page)"/>
        <w:docPartUnique/>
      </w:docPartObj>
    </w:sdtPr>
    <w:sdtContent>
      <w:p w:rsidR="00DB390B" w:rsidRDefault="00DB39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390B" w:rsidRDefault="00DB39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0B" w:rsidRDefault="00DB390B" w:rsidP="00DB390B">
      <w:r>
        <w:separator/>
      </w:r>
    </w:p>
  </w:footnote>
  <w:footnote w:type="continuationSeparator" w:id="0">
    <w:p w:rsidR="00DB390B" w:rsidRDefault="00DB390B" w:rsidP="00DB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36C"/>
    <w:multiLevelType w:val="hybridMultilevel"/>
    <w:tmpl w:val="B33ED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750"/>
    <w:multiLevelType w:val="hybridMultilevel"/>
    <w:tmpl w:val="563A66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35F7D"/>
    <w:multiLevelType w:val="hybridMultilevel"/>
    <w:tmpl w:val="56CC6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76F86"/>
    <w:multiLevelType w:val="hybridMultilevel"/>
    <w:tmpl w:val="8A4AD8E4"/>
    <w:lvl w:ilvl="0" w:tplc="55BA16F6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  <w:rPr>
        <w:rFonts w:cs="Times New Roman"/>
        <w:color w:val="0000FF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B539B"/>
    <w:multiLevelType w:val="hybridMultilevel"/>
    <w:tmpl w:val="B9AE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82ED2"/>
    <w:multiLevelType w:val="hybridMultilevel"/>
    <w:tmpl w:val="E9B0A2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670724"/>
    <w:multiLevelType w:val="hybridMultilevel"/>
    <w:tmpl w:val="47B2F2F8"/>
    <w:lvl w:ilvl="0" w:tplc="A49094B4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</w:lvl>
  </w:abstractNum>
  <w:abstractNum w:abstractNumId="7">
    <w:nsid w:val="34C5222A"/>
    <w:multiLevelType w:val="hybridMultilevel"/>
    <w:tmpl w:val="EE085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11DD"/>
    <w:multiLevelType w:val="hybridMultilevel"/>
    <w:tmpl w:val="780E4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DE6AA0"/>
    <w:multiLevelType w:val="multilevel"/>
    <w:tmpl w:val="82EE58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426601A1"/>
    <w:multiLevelType w:val="hybridMultilevel"/>
    <w:tmpl w:val="3A4851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CC478F"/>
    <w:multiLevelType w:val="hybridMultilevel"/>
    <w:tmpl w:val="5A06197C"/>
    <w:lvl w:ilvl="0" w:tplc="117AC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A4ECC"/>
    <w:multiLevelType w:val="hybridMultilevel"/>
    <w:tmpl w:val="EBC697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BA2359"/>
    <w:multiLevelType w:val="multilevel"/>
    <w:tmpl w:val="ECAE84C6"/>
    <w:lvl w:ilvl="0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  <w:rPr>
        <w:rFonts w:cs="Arial"/>
      </w:rPr>
    </w:lvl>
    <w:lvl w:ilvl="1">
      <w:start w:val="1"/>
      <w:numFmt w:val="decimal"/>
      <w:isLgl/>
      <w:lvlText w:val="%1.%2"/>
      <w:lvlJc w:val="left"/>
      <w:pPr>
        <w:tabs>
          <w:tab w:val="num" w:pos="497"/>
        </w:tabs>
        <w:ind w:left="49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857"/>
        </w:tabs>
        <w:ind w:left="85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57"/>
        </w:tabs>
        <w:ind w:left="85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857"/>
        </w:tabs>
        <w:ind w:left="857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217"/>
        </w:tabs>
        <w:ind w:left="121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217"/>
        </w:tabs>
        <w:ind w:left="1217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77"/>
        </w:tabs>
        <w:ind w:left="157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77"/>
        </w:tabs>
        <w:ind w:left="1577" w:hanging="1440"/>
      </w:pPr>
    </w:lvl>
  </w:abstractNum>
  <w:abstractNum w:abstractNumId="14">
    <w:nsid w:val="72E16DC6"/>
    <w:multiLevelType w:val="hybridMultilevel"/>
    <w:tmpl w:val="21B8F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51615"/>
    <w:multiLevelType w:val="hybridMultilevel"/>
    <w:tmpl w:val="FA94A640"/>
    <w:lvl w:ilvl="0" w:tplc="5F6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15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31"/>
    <w:rsid w:val="0007796F"/>
    <w:rsid w:val="000D66D8"/>
    <w:rsid w:val="00265C46"/>
    <w:rsid w:val="002E278D"/>
    <w:rsid w:val="00443A25"/>
    <w:rsid w:val="004C23DD"/>
    <w:rsid w:val="00567D31"/>
    <w:rsid w:val="00791031"/>
    <w:rsid w:val="00A550F7"/>
    <w:rsid w:val="00D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67D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39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39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DB39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90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67D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39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39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DB39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90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Prachniarová Dagmar</dc:creator>
  <cp:lastModifiedBy>Prachniarová Dagmar</cp:lastModifiedBy>
  <cp:revision>6</cp:revision>
  <cp:lastPrinted>2023-12-08T09:54:00Z</cp:lastPrinted>
  <dcterms:created xsi:type="dcterms:W3CDTF">2023-12-08T09:22:00Z</dcterms:created>
  <dcterms:modified xsi:type="dcterms:W3CDTF">2023-12-08T09:54:00Z</dcterms:modified>
</cp:coreProperties>
</file>