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Dodatek č. </w:t>
      </w:r>
      <w:r w:rsidR="00CB5F4B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 </w:t>
      </w:r>
      <w:r w:rsidR="0007796F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komunitnímu plánu sociálních služeb Olomoucka </w:t>
      </w:r>
    </w:p>
    <w:p w:rsidR="00567D31" w:rsidRDefault="00567D31" w:rsidP="00567D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období let 202</w:t>
      </w:r>
      <w:r w:rsidR="0007796F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– 202</w:t>
      </w:r>
      <w:r w:rsidR="0007796F">
        <w:rPr>
          <w:rFonts w:ascii="Arial" w:hAnsi="Arial"/>
          <w:b/>
          <w:sz w:val="24"/>
        </w:rPr>
        <w:t>5</w:t>
      </w:r>
    </w:p>
    <w:p w:rsidR="00567D31" w:rsidRDefault="00567D31" w:rsidP="00567D31">
      <w:pPr>
        <w:rPr>
          <w:rFonts w:ascii="Arial" w:hAnsi="Arial"/>
          <w:b/>
          <w:sz w:val="24"/>
        </w:rPr>
      </w:pP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  <w:r w:rsidRPr="0012558C">
        <w:rPr>
          <w:rFonts w:ascii="Arial" w:hAnsi="Arial"/>
          <w:sz w:val="24"/>
        </w:rPr>
        <w:t xml:space="preserve">Rada </w:t>
      </w:r>
      <w:r>
        <w:rPr>
          <w:rFonts w:ascii="Arial" w:hAnsi="Arial"/>
          <w:sz w:val="24"/>
        </w:rPr>
        <w:t xml:space="preserve">města Olomouce na svém jednání dne </w:t>
      </w:r>
      <w:r w:rsidR="0007796F">
        <w:rPr>
          <w:rFonts w:ascii="Arial" w:hAnsi="Arial"/>
          <w:sz w:val="24"/>
        </w:rPr>
        <w:t>5. 12. 2023</w:t>
      </w:r>
      <w:r>
        <w:rPr>
          <w:rFonts w:ascii="Arial" w:hAnsi="Arial"/>
          <w:sz w:val="24"/>
        </w:rPr>
        <w:t xml:space="preserve"> schválila Návrh na změnu v aktuálním komunitním plánu sociálních služeb (dále jen Návrh) předložený organizací </w:t>
      </w:r>
      <w:r w:rsidR="00791BE4">
        <w:rPr>
          <w:rFonts w:ascii="Arial" w:hAnsi="Arial" w:cs="Arial"/>
          <w:b/>
          <w:sz w:val="24"/>
          <w:szCs w:val="24"/>
        </w:rPr>
        <w:t xml:space="preserve">Dětské centrum Ostrůvek, </w:t>
      </w:r>
      <w:proofErr w:type="spellStart"/>
      <w:proofErr w:type="gramStart"/>
      <w:r w:rsidR="00791BE4">
        <w:rPr>
          <w:rFonts w:ascii="Arial" w:hAnsi="Arial" w:cs="Arial"/>
          <w:b/>
          <w:sz w:val="24"/>
          <w:szCs w:val="24"/>
        </w:rPr>
        <w:t>p.o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Dle schválených </w:t>
      </w:r>
      <w:r>
        <w:rPr>
          <w:rFonts w:ascii="Arial" w:hAnsi="Arial" w:cs="Arial"/>
          <w:sz w:val="24"/>
          <w:szCs w:val="24"/>
        </w:rPr>
        <w:t xml:space="preserve">Pravidel pro přijímání změn v aktuálním komunitním plánu se přijatým Návrhem zabývala příslušná pracovní skupina komunitního plánování, tj. </w:t>
      </w:r>
      <w:r w:rsidR="0007796F">
        <w:rPr>
          <w:rFonts w:ascii="Arial" w:hAnsi="Arial" w:cs="Arial"/>
          <w:sz w:val="24"/>
          <w:szCs w:val="24"/>
        </w:rPr>
        <w:t>Občané se zdravotním postižením</w:t>
      </w:r>
      <w:r>
        <w:rPr>
          <w:rFonts w:ascii="Arial" w:hAnsi="Arial" w:cs="Arial"/>
          <w:sz w:val="24"/>
          <w:szCs w:val="24"/>
        </w:rPr>
        <w:t xml:space="preserve">, následně Realizačně manažerský tým komunitního plánování. Dne </w:t>
      </w:r>
      <w:r w:rsidR="0007796F">
        <w:rPr>
          <w:rFonts w:ascii="Arial" w:hAnsi="Arial" w:cs="Arial"/>
          <w:sz w:val="24"/>
          <w:szCs w:val="24"/>
        </w:rPr>
        <w:t>31. 10. 2023</w:t>
      </w:r>
      <w:r>
        <w:rPr>
          <w:rFonts w:ascii="Arial" w:hAnsi="Arial" w:cs="Arial"/>
          <w:sz w:val="24"/>
          <w:szCs w:val="24"/>
        </w:rPr>
        <w:t xml:space="preserve"> byl výše uvedený návrh předložen k projednání Sociální komisi RMO, která přijatý návrh doporučila Radě města Olomouce schválit.</w:t>
      </w:r>
      <w:r w:rsidRPr="00D96963">
        <w:rPr>
          <w:rFonts w:ascii="Arial" w:hAnsi="Arial" w:cs="Arial"/>
          <w:sz w:val="24"/>
          <w:szCs w:val="24"/>
        </w:rPr>
        <w:t xml:space="preserve">   </w:t>
      </w:r>
    </w:p>
    <w:p w:rsidR="00567D31" w:rsidRDefault="00567D31" w:rsidP="00567D31">
      <w:pPr>
        <w:jc w:val="both"/>
        <w:rPr>
          <w:rFonts w:ascii="Arial" w:hAnsi="Arial" w:cs="Arial"/>
          <w:sz w:val="24"/>
          <w:szCs w:val="24"/>
        </w:rPr>
      </w:pPr>
    </w:p>
    <w:p w:rsidR="00791BE4" w:rsidRPr="00791BE4" w:rsidRDefault="00567D31" w:rsidP="00791BE4">
      <w:pPr>
        <w:rPr>
          <w:rFonts w:ascii="Arial" w:hAnsi="Arial" w:cs="Arial"/>
          <w:sz w:val="24"/>
          <w:szCs w:val="24"/>
        </w:rPr>
      </w:pPr>
      <w:r w:rsidRPr="00791BE4">
        <w:rPr>
          <w:rFonts w:ascii="Arial" w:hAnsi="Arial" w:cs="Arial"/>
          <w:sz w:val="24"/>
          <w:szCs w:val="24"/>
        </w:rPr>
        <w:t xml:space="preserve">Na základě návrhu dochází </w:t>
      </w:r>
      <w:r w:rsidR="00791BE4" w:rsidRPr="00791BE4">
        <w:rPr>
          <w:rFonts w:ascii="Arial" w:hAnsi="Arial" w:cs="Arial"/>
          <w:sz w:val="24"/>
          <w:szCs w:val="24"/>
        </w:rPr>
        <w:t>na základě transformace stávajících služeb organizace k </w:t>
      </w:r>
      <w:r w:rsidR="00791BE4" w:rsidRPr="00791BE4">
        <w:rPr>
          <w:rFonts w:ascii="Arial" w:hAnsi="Arial" w:cs="Arial"/>
          <w:b/>
          <w:sz w:val="24"/>
          <w:szCs w:val="24"/>
        </w:rPr>
        <w:t>vytvoření nových opatření v rámci Cíle</w:t>
      </w:r>
      <w:r w:rsidR="00791BE4" w:rsidRPr="00791BE4">
        <w:rPr>
          <w:rFonts w:ascii="Arial" w:hAnsi="Arial" w:cs="Arial"/>
          <w:sz w:val="24"/>
          <w:szCs w:val="24"/>
        </w:rPr>
        <w:t xml:space="preserve"> 2.2 Podpora vzniku a rozvoje sociálních služeb pro osoby se zdravotním postižením, a to následovně:</w:t>
      </w:r>
    </w:p>
    <w:p w:rsidR="00791BE4" w:rsidRPr="00791BE4" w:rsidRDefault="00791BE4" w:rsidP="00791BE4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91BE4">
        <w:rPr>
          <w:rFonts w:ascii="Arial" w:hAnsi="Arial" w:cs="Arial"/>
          <w:sz w:val="24"/>
          <w:szCs w:val="24"/>
        </w:rPr>
        <w:t>Opatření 2.2.7 Zřízení služby DOZP pro nezletilé děti s kombinovaným postižením, u kterých je nutné v rámci péče zajistit specializované zdravotní výkony</w:t>
      </w:r>
    </w:p>
    <w:p w:rsidR="00791BE4" w:rsidRPr="00791BE4" w:rsidRDefault="00791BE4" w:rsidP="00791BE4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91BE4">
        <w:rPr>
          <w:rFonts w:ascii="Arial" w:hAnsi="Arial" w:cs="Arial"/>
          <w:sz w:val="24"/>
          <w:szCs w:val="24"/>
        </w:rPr>
        <w:t>Opatření 2.2.8 Vznik odlehčovací služby pro rodiny s dětmi a mladými dospělými s kombinovaným postižením, u kterých je nutné v rámci péče zajistit specializované zdravotní výkony</w:t>
      </w:r>
    </w:p>
    <w:p w:rsidR="00791BE4" w:rsidRDefault="00791BE4" w:rsidP="00791BE4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91BE4">
        <w:rPr>
          <w:rFonts w:ascii="Arial" w:hAnsi="Arial" w:cs="Arial"/>
          <w:sz w:val="24"/>
          <w:szCs w:val="24"/>
        </w:rPr>
        <w:t>Opatření 2.2.9 Vznik služby sociální rehabilitace pro rodiny s dětmi s kombinovaným postižením</w:t>
      </w:r>
      <w:r w:rsidR="00443A25" w:rsidRPr="00791BE4">
        <w:rPr>
          <w:rFonts w:ascii="Arial" w:hAnsi="Arial" w:cs="Arial"/>
          <w:sz w:val="24"/>
          <w:szCs w:val="24"/>
        </w:rPr>
        <w:t>.</w:t>
      </w:r>
      <w:r w:rsidR="0007796F" w:rsidRPr="00791BE4">
        <w:rPr>
          <w:rFonts w:ascii="Arial" w:hAnsi="Arial" w:cs="Arial"/>
          <w:sz w:val="24"/>
          <w:szCs w:val="24"/>
        </w:rPr>
        <w:t xml:space="preserve"> </w:t>
      </w:r>
    </w:p>
    <w:p w:rsidR="00567D31" w:rsidRPr="00791BE4" w:rsidRDefault="0007796F" w:rsidP="00791BE4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791BE4">
        <w:rPr>
          <w:rFonts w:ascii="Arial" w:hAnsi="Arial" w:cs="Arial"/>
          <w:sz w:val="24"/>
          <w:szCs w:val="24"/>
        </w:rPr>
        <w:t xml:space="preserve">Změny jsou vyznačeny </w:t>
      </w:r>
      <w:r w:rsidR="00791031" w:rsidRPr="00791BE4">
        <w:rPr>
          <w:rFonts w:ascii="Arial" w:hAnsi="Arial" w:cs="Arial"/>
          <w:sz w:val="24"/>
          <w:szCs w:val="24"/>
        </w:rPr>
        <w:t>červeně</w:t>
      </w:r>
      <w:r w:rsidRPr="00791BE4">
        <w:rPr>
          <w:rFonts w:ascii="Arial" w:hAnsi="Arial" w:cs="Arial"/>
          <w:sz w:val="24"/>
          <w:szCs w:val="24"/>
        </w:rPr>
        <w:t>.</w:t>
      </w:r>
    </w:p>
    <w:p w:rsidR="002E278D" w:rsidRDefault="002E278D"/>
    <w:p w:rsidR="0007796F" w:rsidRPr="003F5D7F" w:rsidRDefault="0007796F" w:rsidP="0007796F">
      <w:pPr>
        <w:rPr>
          <w:lang w:eastAsia="cs-CZ"/>
        </w:rPr>
      </w:pPr>
    </w:p>
    <w:tbl>
      <w:tblPr>
        <w:tblStyle w:val="Mkatabulky"/>
        <w:tblW w:w="8822" w:type="dxa"/>
        <w:tblInd w:w="250" w:type="dxa"/>
        <w:tblLook w:val="04A0" w:firstRow="1" w:lastRow="0" w:firstColumn="1" w:lastColumn="0" w:noHBand="0" w:noVBand="1"/>
      </w:tblPr>
      <w:tblGrid>
        <w:gridCol w:w="2410"/>
        <w:gridCol w:w="6412"/>
      </w:tblGrid>
      <w:tr w:rsidR="00791BE4" w:rsidRPr="00557A0E" w:rsidTr="00C103C1">
        <w:tc>
          <w:tcPr>
            <w:tcW w:w="2410" w:type="dxa"/>
            <w:shd w:val="clear" w:color="auto" w:fill="FBD4B4" w:themeFill="accent6" w:themeFillTint="66"/>
          </w:tcPr>
          <w:p w:rsidR="00791BE4" w:rsidRPr="00557A0E" w:rsidRDefault="00791BE4" w:rsidP="00C103C1">
            <w:pPr>
              <w:ind w:hanging="2"/>
              <w:rPr>
                <w:b/>
              </w:rPr>
            </w:pPr>
            <w:r w:rsidRPr="00557A0E">
              <w:rPr>
                <w:b/>
              </w:rPr>
              <w:t>Číslo/kód:</w:t>
            </w:r>
          </w:p>
        </w:tc>
        <w:tc>
          <w:tcPr>
            <w:tcW w:w="6412" w:type="dxa"/>
            <w:shd w:val="clear" w:color="auto" w:fill="FBD4B4" w:themeFill="accent6" w:themeFillTint="66"/>
          </w:tcPr>
          <w:p w:rsidR="00791BE4" w:rsidRPr="00557A0E" w:rsidRDefault="00791BE4" w:rsidP="00C103C1">
            <w:pPr>
              <w:ind w:hanging="2"/>
              <w:rPr>
                <w:b/>
              </w:rPr>
            </w:pPr>
            <w:r>
              <w:rPr>
                <w:b/>
              </w:rPr>
              <w:t>2.2</w:t>
            </w:r>
          </w:p>
        </w:tc>
      </w:tr>
      <w:tr w:rsidR="00791BE4" w:rsidRPr="00557A0E" w:rsidTr="00C103C1">
        <w:tc>
          <w:tcPr>
            <w:tcW w:w="2410" w:type="dxa"/>
          </w:tcPr>
          <w:p w:rsidR="00791BE4" w:rsidRPr="00557A0E" w:rsidRDefault="00791BE4" w:rsidP="00C103C1">
            <w:pPr>
              <w:ind w:hanging="2"/>
            </w:pPr>
            <w:r w:rsidRPr="00557A0E">
              <w:rPr>
                <w:b/>
              </w:rPr>
              <w:t>Dílčí cíl:</w:t>
            </w:r>
          </w:p>
        </w:tc>
        <w:tc>
          <w:tcPr>
            <w:tcW w:w="6412" w:type="dxa"/>
          </w:tcPr>
          <w:p w:rsidR="00791BE4" w:rsidRPr="004C6D2D" w:rsidRDefault="00791BE4" w:rsidP="00C103C1">
            <w:pPr>
              <w:ind w:hanging="2"/>
            </w:pPr>
            <w:r w:rsidRPr="004C6D2D">
              <w:t>Podpora vzniku a rozvoje sociálních služeb pro osoby se zdravotním postižením</w:t>
            </w:r>
          </w:p>
        </w:tc>
      </w:tr>
      <w:tr w:rsidR="00791BE4" w:rsidRPr="00557A0E" w:rsidTr="00C103C1">
        <w:tc>
          <w:tcPr>
            <w:tcW w:w="2410" w:type="dxa"/>
          </w:tcPr>
          <w:p w:rsidR="00791BE4" w:rsidRPr="00557A0E" w:rsidRDefault="00791BE4" w:rsidP="00C103C1">
            <w:pPr>
              <w:ind w:hanging="2"/>
            </w:pPr>
            <w:r w:rsidRPr="00557A0E">
              <w:rPr>
                <w:b/>
              </w:rPr>
              <w:t>Charakteristika cíle:</w:t>
            </w:r>
          </w:p>
        </w:tc>
        <w:tc>
          <w:tcPr>
            <w:tcW w:w="6412" w:type="dxa"/>
          </w:tcPr>
          <w:p w:rsidR="00791BE4" w:rsidRPr="004C6D2D" w:rsidRDefault="00791BE4" w:rsidP="00C103C1">
            <w:pPr>
              <w:ind w:hanging="2"/>
            </w:pPr>
            <w:r w:rsidRPr="004C6D2D">
              <w:t>Cílem je rozšířit a zkvalitnit nabídku poskytovaných sociálních služeb pro osoby se zdravotním postižením.</w:t>
            </w:r>
          </w:p>
        </w:tc>
      </w:tr>
      <w:tr w:rsidR="00791BE4" w:rsidRPr="004B1AF6" w:rsidTr="00C103C1">
        <w:tc>
          <w:tcPr>
            <w:tcW w:w="2410" w:type="dxa"/>
          </w:tcPr>
          <w:p w:rsidR="00791BE4" w:rsidRPr="00557A0E" w:rsidRDefault="00791BE4" w:rsidP="00C103C1">
            <w:pPr>
              <w:ind w:hanging="2"/>
            </w:pPr>
            <w:r w:rsidRPr="00557A0E">
              <w:rPr>
                <w:b/>
              </w:rPr>
              <w:t>Opatření, která vedou k naplnění cíle:</w:t>
            </w:r>
          </w:p>
        </w:tc>
        <w:tc>
          <w:tcPr>
            <w:tcW w:w="6412" w:type="dxa"/>
          </w:tcPr>
          <w:p w:rsid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4C6D2D">
              <w:t xml:space="preserve">2.2.1 Zřízení služby DOZP pro osoby s mentálním postižením a </w:t>
            </w:r>
            <w:proofErr w:type="gramStart"/>
            <w:r w:rsidRPr="004C6D2D">
              <w:t>náročným</w:t>
            </w:r>
            <w:r>
              <w:t xml:space="preserve">  </w:t>
            </w:r>
            <w:r w:rsidRPr="004C6D2D">
              <w:t xml:space="preserve"> </w:t>
            </w:r>
            <w:r>
              <w:t xml:space="preserve">      </w:t>
            </w:r>
            <w:r w:rsidRPr="004C6D2D">
              <w:t>chováním</w:t>
            </w:r>
            <w:proofErr w:type="gramEnd"/>
            <w:r w:rsidRPr="004C6D2D">
              <w:t xml:space="preserve"> </w:t>
            </w:r>
          </w:p>
          <w:p w:rsid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4C6D2D">
              <w:t>2.2.2 Zřízení pobytové odlehčovací služby pro osoby s mentálním postižením a náročným chováním</w:t>
            </w:r>
          </w:p>
          <w:p w:rsid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4C6D2D">
              <w:t>2.2.3 Poskytování pobytové formy odlehčovací služby pro osoby s mentálním postižením, pro osoby s kombinovaným postižením (včetně PAS) 2.2.4 Vznik služby sociálně terapeutická dílna pro osoby s mentálním postižením</w:t>
            </w:r>
          </w:p>
          <w:p w:rsid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4C6D2D">
              <w:t xml:space="preserve">2.2.5 Zkvalitnění a individualizace služby denního stacionáře pro osoby s mentálním postižením v návaznosti na změnu struktury uživatelů (např. PAS) </w:t>
            </w:r>
          </w:p>
          <w:p w:rsid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4C6D2D">
              <w:t>2.2.6 Vznik odlehčovací služby pro rodiny dětí s těžkým kombinovaným postižením (včetně dětí s</w:t>
            </w:r>
            <w:r>
              <w:t> </w:t>
            </w:r>
            <w:r w:rsidRPr="004C6D2D">
              <w:t>PAS</w:t>
            </w:r>
            <w:r>
              <w:t>)</w:t>
            </w:r>
          </w:p>
          <w:p w:rsid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5D326A">
              <w:rPr>
                <w:color w:val="FF0000"/>
              </w:rPr>
              <w:t>2.2.7 Zřízení služby DOZP pro nezletilé děti s kombinovaným postižením, u kterých je nutné v rámci péče zajistit specializované zdravotní výkony</w:t>
            </w:r>
          </w:p>
          <w:p w:rsidR="00791BE4" w:rsidRDefault="00791BE4" w:rsidP="0079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>
              <w:rPr>
                <w:color w:val="FF0000"/>
              </w:rPr>
              <w:t xml:space="preserve">2.2.8 </w:t>
            </w:r>
            <w:r w:rsidRPr="00815F29">
              <w:rPr>
                <w:color w:val="FF0000"/>
              </w:rPr>
              <w:t>Vznik odlehčovací služby pro rodiny s dětmi a mladými dospělými s kombinovaným postižením, u kterých je nutné v rámci péče zajistit specializované zdravotní výkony</w:t>
            </w:r>
          </w:p>
          <w:p w:rsidR="00791BE4" w:rsidRPr="004C6D2D" w:rsidRDefault="00791BE4" w:rsidP="0079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FF0000"/>
              </w:rPr>
              <w:t>2.2.</w:t>
            </w:r>
            <w:r w:rsidRPr="00972F79">
              <w:rPr>
                <w:color w:val="FF0000"/>
              </w:rPr>
              <w:t>9 Vznik služby sociální rehabilitace pro rodiny s dětmi s kombinovaným postižením</w:t>
            </w:r>
          </w:p>
        </w:tc>
      </w:tr>
    </w:tbl>
    <w:p w:rsidR="00791BE4" w:rsidRDefault="00791BE4" w:rsidP="00791BE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791BE4" w:rsidRDefault="00791BE4" w:rsidP="00791BE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896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986"/>
        <w:gridCol w:w="6531"/>
      </w:tblGrid>
      <w:tr w:rsidR="00791BE4" w:rsidRPr="00791BE4" w:rsidTr="00C103C1">
        <w:trPr>
          <w:cantSplit/>
          <w:trHeight w:val="279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Kód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2.2.7</w:t>
            </w:r>
          </w:p>
        </w:tc>
      </w:tr>
      <w:tr w:rsidR="00791BE4" w:rsidRPr="00791BE4" w:rsidTr="00C103C1">
        <w:trPr>
          <w:cantSplit/>
          <w:trHeight w:val="283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Název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Zřízení služby DOZP pro nezletilé děti s kombinovaným postižením, u kterých je nutné v rámci péče zajistit specializované zdravotní výkony </w:t>
            </w:r>
          </w:p>
        </w:tc>
      </w:tr>
      <w:tr w:rsidR="00791BE4" w:rsidRPr="00791BE4" w:rsidTr="00C103C1">
        <w:trPr>
          <w:cantSplit/>
          <w:trHeight w:val="69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3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Charakteristika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Opatření směřuje k zajištění služby pro osoby s kombinovaným postižením  - nezletilé děti s vícenásobným postižením, které vyžaduje při zajištění péče zabezpečení specializovaných zdravotních výkonů, včetně osob s PAS, přičemž tyto děti nemohou pro svůj závažný zdravotní stav, a případně též komplikovanou rodinnou situaci, vyrůstat v běžném domácím prostředí.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Nepřetržitá pobytová péče je zajištěna s podporou zdravotnického a dalšího odborného personálu (speciální pedagog) a jejím cílem je udržet a případně navýšit zdravotní kondici a kvalitu života osob s kombinovaným postižením. 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bookmarkStart w:id="0" w:name="_GoBack"/>
            <w:bookmarkEnd w:id="0"/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Věková skupina: 0-18 let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Cílová skupina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14 osoby s kombinovaným postižením 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Druh služby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4 Domovy pro osoby se zdravotním postižením (§48)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Forma služby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3 pobytová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4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Vymezení územního dopadu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území ORP Olomouc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5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Předpokládané dopady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vznik specializované sociální služby pro osoby s kombinovaným postižením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doplnění nabídky již poskytovaných podobných typů služeb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zajištění komplexní péče o osoby s kombinovaným postižením v důstojném prostředí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uchování schopností a dovedností a jejich rozvoj s ohledem na specifika postižení až do výše skutečných limitů dítěte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zlepšení zdravotní kondice a kvality života osob s kombinovaným postižením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zvýšení samostatnosti a zprostředkování nových podnětů za účelem </w:t>
            </w:r>
            <w:proofErr w:type="spellStart"/>
            <w:r w:rsidRPr="00791BE4">
              <w:rPr>
                <w:color w:val="FF0000"/>
              </w:rPr>
              <w:t>seberozvoje</w:t>
            </w:r>
            <w:proofErr w:type="spellEnd"/>
            <w:r w:rsidRPr="00791BE4">
              <w:rPr>
                <w:color w:val="FF0000"/>
              </w:rPr>
              <w:t xml:space="preserve"> těchto osob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6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Rizika a ohrožení naplnění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nedostatek odborných pracovníků (zdravotní sestry, speciální pedagog)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nedostatek pracovníků přímé péče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omezené finanční zdroje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nevyužití kapacity služby ze strany cílové skupiny</w:t>
            </w:r>
          </w:p>
        </w:tc>
      </w:tr>
      <w:tr w:rsidR="00791BE4" w:rsidRPr="00791BE4" w:rsidTr="00C103C1">
        <w:trPr>
          <w:cantSplit/>
          <w:trHeight w:val="996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7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Aktivity vedoucí k naplnění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registrace sociální služby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dokončení úprav interiéru a dokoupení zdravotních pomůcek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sestavení pracovního týmu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příprava standardů kvality sociálních služeb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nabídka služby veřejnosti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8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Časový harmonogram plnění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2023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ověření zájmu o sociální službu 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podání žádosti o zařazení do sítě sociálních služeb a zajištění finančních prostředků na následující rok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registrace sociální služby</w:t>
            </w:r>
          </w:p>
          <w:p w:rsidR="00791BE4" w:rsidRPr="00791BE4" w:rsidRDefault="00791BE4" w:rsidP="00791B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příprava standardů kvality sociálních služeb</w:t>
            </w:r>
          </w:p>
          <w:p w:rsidR="00791BE4" w:rsidRPr="00791BE4" w:rsidRDefault="00791BE4" w:rsidP="00791B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nabídka služby veřejnosti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91BE4">
              <w:rPr>
                <w:color w:val="FF0000"/>
              </w:rPr>
              <w:t>2024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zahájení provozu služby od 1. 1. 2024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sjednávání smluv se zájemci o službu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vzdělávání a příprava pracovníků v přímé péči</w:t>
            </w:r>
          </w:p>
        </w:tc>
      </w:tr>
      <w:tr w:rsidR="00791BE4" w:rsidRPr="00791BE4" w:rsidTr="00C103C1">
        <w:trPr>
          <w:cantSplit/>
          <w:trHeight w:val="766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9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Předpokládaná výše finančních nákladů na realizaci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  <w:lang w:eastAsia="cs-CZ"/>
              </w:rPr>
              <w:t>13 906 338</w:t>
            </w:r>
            <w:r w:rsidRPr="00791BE4">
              <w:rPr>
                <w:color w:val="FF0000"/>
              </w:rPr>
              <w:t xml:space="preserve"> Kč/rok</w:t>
            </w:r>
          </w:p>
        </w:tc>
      </w:tr>
      <w:tr w:rsidR="00791BE4" w:rsidRPr="00791BE4" w:rsidTr="00C103C1">
        <w:trPr>
          <w:cantSplit/>
          <w:trHeight w:val="40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10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Předpokládané finanční zdroje: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MPSV ČR, Olomoucký kraj, úhrady od uživatelů služby, fondy zdravotních pojišťoven</w:t>
            </w:r>
          </w:p>
        </w:tc>
      </w:tr>
      <w:tr w:rsidR="00791BE4" w:rsidRPr="00791BE4" w:rsidTr="00C103C1">
        <w:trPr>
          <w:cantSplit/>
          <w:trHeight w:val="783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Předpokládaní realizátoři a partneři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Realizátor</w:t>
            </w:r>
            <w:r w:rsidRPr="00791BE4">
              <w:rPr>
                <w:color w:val="FF0000"/>
              </w:rPr>
              <w:t xml:space="preserve">: Dětské centrum Ostrůvek, </w:t>
            </w:r>
            <w:proofErr w:type="spellStart"/>
            <w:proofErr w:type="gramStart"/>
            <w:r w:rsidRPr="00791BE4">
              <w:rPr>
                <w:color w:val="FF0000"/>
              </w:rPr>
              <w:t>p.o</w:t>
            </w:r>
            <w:proofErr w:type="spellEnd"/>
            <w:r w:rsidRPr="00791BE4">
              <w:rPr>
                <w:color w:val="FF0000"/>
              </w:rPr>
              <w:t>.</w:t>
            </w:r>
            <w:proofErr w:type="gramEnd"/>
          </w:p>
        </w:tc>
      </w:tr>
      <w:tr w:rsidR="00791BE4" w:rsidRPr="00791BE4" w:rsidTr="00C103C1">
        <w:trPr>
          <w:cantSplit/>
          <w:trHeight w:val="425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lastRenderedPageBreak/>
              <w:t>12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Hodnotící indikátory výstupů a výsledků: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pStyle w:val="Odstavecseseznamem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zařazení do sítě sociálních služeb 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roční obsazenost kapacity služby 85-90%</w:t>
            </w:r>
          </w:p>
        </w:tc>
      </w:tr>
    </w:tbl>
    <w:p w:rsidR="00791BE4" w:rsidRDefault="00791BE4" w:rsidP="00791BE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07796F" w:rsidRPr="003F5D7F" w:rsidRDefault="0007796F" w:rsidP="0007796F"/>
    <w:p w:rsidR="0007796F" w:rsidRDefault="0007796F" w:rsidP="0007796F"/>
    <w:tbl>
      <w:tblPr>
        <w:tblW w:w="896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986"/>
        <w:gridCol w:w="6531"/>
      </w:tblGrid>
      <w:tr w:rsidR="00791BE4" w:rsidRPr="00791BE4" w:rsidTr="00C103C1">
        <w:trPr>
          <w:cantSplit/>
          <w:trHeight w:val="279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Kód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2.2.8</w:t>
            </w:r>
          </w:p>
        </w:tc>
      </w:tr>
      <w:tr w:rsidR="00791BE4" w:rsidRPr="00791BE4" w:rsidTr="00C103C1">
        <w:trPr>
          <w:cantSplit/>
          <w:trHeight w:val="283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Název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Vznik odlehčovací služby pro rodiny s dětmi a mladými dospělými s kombinovaným postižením, u kterých je nutné v rámci péče zajistit specializované zdravotní výkony </w:t>
            </w:r>
          </w:p>
        </w:tc>
      </w:tr>
      <w:tr w:rsidR="00791BE4" w:rsidRPr="00791BE4" w:rsidTr="00C103C1">
        <w:trPr>
          <w:cantSplit/>
          <w:trHeight w:val="69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3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Charakteristika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Opatření je zaměřeno na podporu rodin, které celodenně pečují o nezletilé dítě či mladého dospělého se závažným kombinovaným postižením - vícenásobné postižení, které vyžaduje při zajištění péče zabezpečení specializovaných zdravotních výkonů, včetně osob s PAS. 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Krátkodobé úlevné pobyty zajistí odlehčení rodinám od náročné nepřetržité péče a zároveň budou usilovat o zvýšení zdravotní kondice a kvality života osob s kombinovaným postižením.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Věková skupina: 0-26 let.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Cílová skupina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14 osoby s kombinovaným postižením 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Druh služby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15 Odlehčovací služba (§44)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Forma služby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3 pobytová, 2 ambulantní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4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Vymezení územního dopadu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území ORP Olomouc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5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Předpokládané dopady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vznik specializované sociální služby pro osoby s kombinovaným postižením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rozšíření nabídky již poskytovaných podobných typů služeb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podpora pečující rodiny, jejímž důsledkem je udržitelnost domácí péče o osobu s kombinovaným postižením (prevence vyčerpání a udržení funkční rodiny)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zlepšení zdravotní kondice a kvality života osob s kombinovaným postižením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zvýšení samostatnosti a zprostředkování nových podnětů za účelem rozvoje těchto osob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6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Rizika a ohrožení naplnění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nedostatek odborných pracovníků (zdravotní sestry, speciální pedagog)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nedostatek pracovníků přímé péče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omezené finanční zdroje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nevyužití kapacity služby ze strany cílové skupiny</w:t>
            </w:r>
          </w:p>
        </w:tc>
      </w:tr>
      <w:tr w:rsidR="00791BE4" w:rsidRPr="00791BE4" w:rsidTr="00C103C1">
        <w:trPr>
          <w:cantSplit/>
          <w:trHeight w:val="996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7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Aktivity vedoucí k naplnění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registrace sociální služby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dokončení úprav interiéru a dokoupení pomůcek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sestavení pracovního týmu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příprava standardů kvality sociálních služeb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nabídka služby veřejnosti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8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Časový harmonogram plnění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2023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ověření zájmu o sociální službu 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podání žádosti o zařazení do sítě sociálních služeb a zajištění finančních prostředků na následující rok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registrace sociální služby</w:t>
            </w:r>
          </w:p>
          <w:p w:rsidR="00791BE4" w:rsidRPr="00791BE4" w:rsidRDefault="00791BE4" w:rsidP="00791B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příprava standardů kvality sociálních služeb</w:t>
            </w:r>
          </w:p>
          <w:p w:rsidR="00791BE4" w:rsidRPr="00791BE4" w:rsidRDefault="00791BE4" w:rsidP="00791B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nabídka služby veřejnosti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91BE4">
              <w:rPr>
                <w:color w:val="FF0000"/>
              </w:rPr>
              <w:t>2024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zahájení provozu služby od 1. 1. 2024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sjednávání smluv se zájemci o službu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vzdělávání a příprava pracovníků v přímé péči</w:t>
            </w:r>
          </w:p>
        </w:tc>
      </w:tr>
      <w:tr w:rsidR="00791BE4" w:rsidRPr="00791BE4" w:rsidTr="00C103C1">
        <w:trPr>
          <w:cantSplit/>
          <w:trHeight w:val="766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9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Předpokládaná výše finančních nákladů na realizaci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9 786 401 Kč/rok</w:t>
            </w:r>
          </w:p>
        </w:tc>
      </w:tr>
      <w:tr w:rsidR="00791BE4" w:rsidRPr="00791BE4" w:rsidTr="00C103C1">
        <w:trPr>
          <w:cantSplit/>
          <w:trHeight w:val="40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10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Předpokládané finanční zdroje: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MPSV ČR, Olomoucký kraj, úhrady od uživatelů služby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</w:tr>
      <w:tr w:rsidR="00791BE4" w:rsidRPr="00791BE4" w:rsidTr="00C103C1">
        <w:trPr>
          <w:cantSplit/>
          <w:trHeight w:val="783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lastRenderedPageBreak/>
              <w:t>11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Předpokládaní realizátoři a partneři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Realizátor</w:t>
            </w:r>
            <w:r w:rsidRPr="00791BE4">
              <w:rPr>
                <w:color w:val="FF0000"/>
              </w:rPr>
              <w:t xml:space="preserve">: Dětské centrum Ostrůvek, </w:t>
            </w:r>
            <w:proofErr w:type="spellStart"/>
            <w:proofErr w:type="gramStart"/>
            <w:r w:rsidRPr="00791BE4">
              <w:rPr>
                <w:color w:val="FF0000"/>
              </w:rPr>
              <w:t>p.o</w:t>
            </w:r>
            <w:proofErr w:type="spellEnd"/>
            <w:r w:rsidRPr="00791BE4">
              <w:rPr>
                <w:color w:val="FF0000"/>
              </w:rPr>
              <w:t>.</w:t>
            </w:r>
            <w:proofErr w:type="gramEnd"/>
          </w:p>
        </w:tc>
      </w:tr>
      <w:tr w:rsidR="00791BE4" w:rsidRPr="00791BE4" w:rsidTr="00C103C1">
        <w:trPr>
          <w:cantSplit/>
          <w:trHeight w:val="425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Hodnotící indikátory výstupů a výsledků: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pStyle w:val="Odstavecseseznamem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zařazení do sítě sociálních služeb 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roční obsazenost kapacity pobytové i ambulantní formy 80-90%</w:t>
            </w:r>
          </w:p>
        </w:tc>
      </w:tr>
    </w:tbl>
    <w:p w:rsidR="00567D31" w:rsidRDefault="00567D31"/>
    <w:p w:rsidR="00567D31" w:rsidRDefault="00567D31"/>
    <w:tbl>
      <w:tblPr>
        <w:tblW w:w="896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986"/>
        <w:gridCol w:w="6531"/>
      </w:tblGrid>
      <w:tr w:rsidR="00791BE4" w:rsidRPr="00791BE4" w:rsidTr="00C103C1">
        <w:trPr>
          <w:cantSplit/>
          <w:trHeight w:val="279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Kód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2.2.9</w:t>
            </w:r>
          </w:p>
        </w:tc>
      </w:tr>
      <w:tr w:rsidR="00791BE4" w:rsidRPr="00791BE4" w:rsidTr="00C103C1">
        <w:trPr>
          <w:cantSplit/>
          <w:trHeight w:val="283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Název opatření:</w:t>
            </w:r>
          </w:p>
        </w:tc>
        <w:tc>
          <w:tcPr>
            <w:tcW w:w="6530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Vznik služby sociální rehabilitace pro rodiny s dětmi s kombinovaným postižením</w:t>
            </w:r>
          </w:p>
        </w:tc>
      </w:tr>
      <w:tr w:rsidR="00791BE4" w:rsidRPr="00791BE4" w:rsidTr="00C103C1">
        <w:trPr>
          <w:cantSplit/>
          <w:trHeight w:val="69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3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Charakteristika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Opatření je zaměřeno na podporu rodin s dětmi s kombinovaným postižením, u kterých je nutné v rámci péče zajistit specializované zdravotní výkony nebo se jedná o děti s narušeným psychomotorickým vývojem vyžadující saturaci specifických potřeb, případně se jedná o jinou nepříznivou sociální situaci v rodině, kde je nutné zajistit podporu ze strany sociálního systému.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Opatření spočívá v postupném navyšovaní rodičovských kompetencí průběžným nácvikem tak, aby rodiče byli schopni samostatně zajistit odpovídající péči svému dítěti, aniž by ho ohrozili na zdraví či zdravém vývoji. Jsou </w:t>
            </w:r>
            <w:proofErr w:type="spellStart"/>
            <w:r w:rsidRPr="00791BE4">
              <w:rPr>
                <w:color w:val="FF0000"/>
              </w:rPr>
              <w:t>edukováni</w:t>
            </w:r>
            <w:proofErr w:type="spellEnd"/>
            <w:r w:rsidRPr="00791BE4">
              <w:rPr>
                <w:color w:val="FF0000"/>
              </w:rPr>
              <w:t>, jak správně pokrýt veškeré potřeby dítěte tak, aby se mohlo v rámci svých možností co nejlépe rozvíjet.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 xml:space="preserve">Cílovou skupinou jsou rodiny s dětmi, které řeší nepříznivé sociální situace související s nedostatečnými kompetencemi rodičů/jiných odpovědných osob při zvládání péče o dítě s kombinovaným postižením - vícenásobné postižení, které vyžaduje při zajištění péče zabezpečení specializovaných zdravotních výkonů, včetně osob s PAS nebo s narušeným psychomotorickým vývojem (zanedbávané, </w:t>
            </w:r>
            <w:proofErr w:type="spellStart"/>
            <w:r w:rsidRPr="00791BE4">
              <w:rPr>
                <w:color w:val="FF0000"/>
              </w:rPr>
              <w:t>podnětově</w:t>
            </w:r>
            <w:proofErr w:type="spellEnd"/>
            <w:r w:rsidRPr="00791BE4">
              <w:rPr>
                <w:color w:val="FF0000"/>
              </w:rPr>
              <w:t xml:space="preserve"> či emočně deprivované).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Cílová skupina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14 osoby s kombinovaným postižením, 24 rodiny s dítětem/dětmi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Druh služby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Sociální rehabilitace (§70)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Forma služby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3 pobytová, 2 ambulantní, 1terénní</w:t>
            </w:r>
          </w:p>
        </w:tc>
      </w:tr>
      <w:tr w:rsidR="00791BE4" w:rsidRPr="00791BE4" w:rsidTr="00C103C1">
        <w:trPr>
          <w:cantSplit/>
          <w:trHeight w:val="24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4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Vymezení územního dopadu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území ORP Olomouc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5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Předpokládané dopady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vznik specializované sociální služby pro osoby s kombinovaným postižením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doplnění nabídky již poskytovaných podobných typů služeb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podpora pečující rodiny, jejímž důsledkem je udržitelnost péče o nezletilé dítě v domácím prostředí, aniž by dítě bylo ohroženo na životě a zdraví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zajištění samostatnosti rodiče v péči o dítě, péče pokrývá potřeby dítěte a dítě se rozvíjí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náprava a stabilizace selhávající rodiny, naplnění všech zásadních funkcí rodiny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snížení rizika ohrožení dítěte péčí nekompetentních osob</w:t>
            </w:r>
          </w:p>
          <w:p w:rsidR="00791BE4" w:rsidRPr="00791BE4" w:rsidRDefault="00791BE4" w:rsidP="00791B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61" w:left="482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snížení rizika odebrání dítěte rodině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6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Rizika a ohrožení naplnění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nedostatek kvalifikovaných pracovníků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omezené finanční zdroje</w:t>
            </w:r>
          </w:p>
          <w:p w:rsidR="00791BE4" w:rsidRPr="00791BE4" w:rsidRDefault="00791BE4" w:rsidP="00791BE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nevyužití kapacity služby ze strany cílové skupiny</w:t>
            </w:r>
          </w:p>
        </w:tc>
      </w:tr>
      <w:tr w:rsidR="00791BE4" w:rsidRPr="00791BE4" w:rsidTr="00C103C1">
        <w:trPr>
          <w:cantSplit/>
          <w:trHeight w:val="996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7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Aktivity vedoucí k naplnění opatření: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registrace sociální služby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dokončení úprav interiéru a dokoupení pomůcek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sestavení pracovního týmu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příprava standardů kvality sociálních služeb</w:t>
            </w:r>
          </w:p>
          <w:p w:rsidR="00791BE4" w:rsidRPr="00791BE4" w:rsidRDefault="00791BE4" w:rsidP="00791B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507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nabídka služby veřejnosti</w:t>
            </w:r>
          </w:p>
        </w:tc>
      </w:tr>
      <w:tr w:rsidR="00791BE4" w:rsidRPr="00791BE4" w:rsidTr="00C103C1">
        <w:trPr>
          <w:cantSplit/>
          <w:trHeight w:val="964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lastRenderedPageBreak/>
              <w:t>8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Časový harmonogram plnění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2023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ověření zájmu o sociální službu 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podání žádosti o zařazení do sítě sociálních služeb a zajištění finančních prostředků na následující rok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registrace sociální služby</w:t>
            </w:r>
          </w:p>
          <w:p w:rsidR="00791BE4" w:rsidRPr="00791BE4" w:rsidRDefault="00791BE4" w:rsidP="00791B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příprava standardů kvality sociálních služeb</w:t>
            </w:r>
          </w:p>
          <w:p w:rsidR="00791BE4" w:rsidRPr="00791BE4" w:rsidRDefault="00791BE4" w:rsidP="00791BE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nabídka služby veřejnosti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91BE4">
              <w:rPr>
                <w:color w:val="FF0000"/>
              </w:rPr>
              <w:t>2024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zahájení provozu služby od 1. 1. 2024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sjednávání smluv se zájemci o službu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vzdělávání a příprava pracovníků v přímé péči</w:t>
            </w:r>
          </w:p>
        </w:tc>
      </w:tr>
      <w:tr w:rsidR="00791BE4" w:rsidRPr="00791BE4" w:rsidTr="00C103C1">
        <w:trPr>
          <w:cantSplit/>
          <w:trHeight w:val="766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9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Předpokládaná výše finančních nákladů na realizaci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7 201 840 Kč/rok</w:t>
            </w:r>
          </w:p>
        </w:tc>
      </w:tr>
      <w:tr w:rsidR="00791BE4" w:rsidRPr="00791BE4" w:rsidTr="00C103C1">
        <w:trPr>
          <w:cantSplit/>
          <w:trHeight w:val="408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10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Předpokládané finanční zdroje: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color w:val="FF0000"/>
              </w:rPr>
              <w:t>MPSV ČR, Olomoucký kraj, úhrady od uživatelů služby</w:t>
            </w:r>
          </w:p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</w:tr>
      <w:tr w:rsidR="00791BE4" w:rsidRPr="00791BE4" w:rsidTr="00C103C1">
        <w:trPr>
          <w:cantSplit/>
          <w:trHeight w:val="783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11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Předpokládaní realizátoři a partneři opatření:</w:t>
            </w:r>
          </w:p>
        </w:tc>
        <w:tc>
          <w:tcPr>
            <w:tcW w:w="6530" w:type="dxa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Realizátor</w:t>
            </w:r>
            <w:r w:rsidRPr="00791BE4">
              <w:rPr>
                <w:color w:val="FF0000"/>
              </w:rPr>
              <w:t xml:space="preserve">: Dětské centrum Ostrůvek, </w:t>
            </w:r>
            <w:proofErr w:type="spellStart"/>
            <w:proofErr w:type="gramStart"/>
            <w:r w:rsidRPr="00791BE4">
              <w:rPr>
                <w:color w:val="FF0000"/>
              </w:rPr>
              <w:t>p.o</w:t>
            </w:r>
            <w:proofErr w:type="spellEnd"/>
            <w:r w:rsidRPr="00791BE4">
              <w:rPr>
                <w:color w:val="FF0000"/>
              </w:rPr>
              <w:t>.</w:t>
            </w:r>
            <w:proofErr w:type="gramEnd"/>
          </w:p>
        </w:tc>
      </w:tr>
      <w:tr w:rsidR="00791BE4" w:rsidRPr="00791BE4" w:rsidTr="00C103C1">
        <w:trPr>
          <w:cantSplit/>
          <w:trHeight w:val="425"/>
        </w:trPr>
        <w:tc>
          <w:tcPr>
            <w:tcW w:w="443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12</w:t>
            </w:r>
          </w:p>
        </w:tc>
        <w:tc>
          <w:tcPr>
            <w:tcW w:w="1986" w:type="dxa"/>
            <w:shd w:val="clear" w:color="auto" w:fill="FBD4B4" w:themeFill="accent6" w:themeFillTint="66"/>
          </w:tcPr>
          <w:p w:rsidR="00791BE4" w:rsidRPr="00791BE4" w:rsidRDefault="00791BE4" w:rsidP="00C1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  <w:r w:rsidRPr="00791BE4">
              <w:rPr>
                <w:b/>
                <w:color w:val="FF0000"/>
              </w:rPr>
              <w:t>Hodnotící indikátory výstupů a výsledků:</w:t>
            </w:r>
          </w:p>
        </w:tc>
        <w:tc>
          <w:tcPr>
            <w:tcW w:w="6530" w:type="dxa"/>
          </w:tcPr>
          <w:p w:rsidR="00791BE4" w:rsidRPr="00791BE4" w:rsidRDefault="00791BE4" w:rsidP="00791BE4">
            <w:pPr>
              <w:pStyle w:val="Odstavecseseznamem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 xml:space="preserve">zařazení do sítě sociálních služeb </w:t>
            </w:r>
          </w:p>
          <w:p w:rsidR="00791BE4" w:rsidRPr="00791BE4" w:rsidRDefault="00791BE4" w:rsidP="00791BE4">
            <w:pPr>
              <w:pStyle w:val="Odstavecseseznamem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color w:val="FF0000"/>
              </w:rPr>
            </w:pPr>
            <w:r w:rsidRPr="00791BE4">
              <w:rPr>
                <w:color w:val="FF0000"/>
              </w:rPr>
              <w:t>35</w:t>
            </w:r>
            <w:r w:rsidRPr="00791BE4">
              <w:rPr>
                <w:color w:val="FF0000"/>
              </w:rPr>
              <w:t xml:space="preserve"> osob/rok ambulantní forma, </w:t>
            </w:r>
            <w:r w:rsidRPr="00791BE4">
              <w:rPr>
                <w:color w:val="FF0000"/>
              </w:rPr>
              <w:t>45</w:t>
            </w:r>
            <w:r w:rsidRPr="00791BE4">
              <w:rPr>
                <w:color w:val="FF0000"/>
              </w:rPr>
              <w:t xml:space="preserve"> osob/rok terénní forma, </w:t>
            </w:r>
            <w:r w:rsidRPr="00791BE4">
              <w:rPr>
                <w:color w:val="FF0000"/>
              </w:rPr>
              <w:t>72</w:t>
            </w:r>
            <w:r w:rsidRPr="00791BE4">
              <w:rPr>
                <w:color w:val="FF0000"/>
              </w:rPr>
              <w:t xml:space="preserve"> osob/rok pobytová forma</w:t>
            </w:r>
          </w:p>
        </w:tc>
      </w:tr>
    </w:tbl>
    <w:p w:rsidR="00567D31" w:rsidRDefault="00567D31"/>
    <w:p w:rsidR="00443A25" w:rsidRDefault="00443A25"/>
    <w:p w:rsidR="00443A25" w:rsidRDefault="00443A25"/>
    <w:sectPr w:rsidR="00443A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E4" w:rsidRDefault="00791BE4" w:rsidP="00791BE4">
      <w:r>
        <w:separator/>
      </w:r>
    </w:p>
  </w:endnote>
  <w:endnote w:type="continuationSeparator" w:id="0">
    <w:p w:rsidR="00791BE4" w:rsidRDefault="00791BE4" w:rsidP="007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31117"/>
      <w:docPartObj>
        <w:docPartGallery w:val="Page Numbers (Bottom of Page)"/>
        <w:docPartUnique/>
      </w:docPartObj>
    </w:sdtPr>
    <w:sdtContent>
      <w:p w:rsidR="00791BE4" w:rsidRDefault="00791B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91BE4" w:rsidRDefault="00791B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E4" w:rsidRDefault="00791BE4" w:rsidP="00791BE4">
      <w:r>
        <w:separator/>
      </w:r>
    </w:p>
  </w:footnote>
  <w:footnote w:type="continuationSeparator" w:id="0">
    <w:p w:rsidR="00791BE4" w:rsidRDefault="00791BE4" w:rsidP="0079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D73"/>
    <w:multiLevelType w:val="hybridMultilevel"/>
    <w:tmpl w:val="8B6AC7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0B736C"/>
    <w:multiLevelType w:val="hybridMultilevel"/>
    <w:tmpl w:val="B33ED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407"/>
    <w:multiLevelType w:val="hybridMultilevel"/>
    <w:tmpl w:val="11309EB2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14D6750"/>
    <w:multiLevelType w:val="hybridMultilevel"/>
    <w:tmpl w:val="563A6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F35F7D"/>
    <w:multiLevelType w:val="hybridMultilevel"/>
    <w:tmpl w:val="56CC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6F86"/>
    <w:multiLevelType w:val="hybridMultilevel"/>
    <w:tmpl w:val="8A4AD8E4"/>
    <w:lvl w:ilvl="0" w:tplc="55BA16F6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B539B"/>
    <w:multiLevelType w:val="hybridMultilevel"/>
    <w:tmpl w:val="B9AE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2ED2"/>
    <w:multiLevelType w:val="hybridMultilevel"/>
    <w:tmpl w:val="E9B0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670724"/>
    <w:multiLevelType w:val="hybridMultilevel"/>
    <w:tmpl w:val="47B2F2F8"/>
    <w:lvl w:ilvl="0" w:tplc="A49094B4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9">
    <w:nsid w:val="34C5222A"/>
    <w:multiLevelType w:val="hybridMultilevel"/>
    <w:tmpl w:val="EE08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60D68"/>
    <w:multiLevelType w:val="multilevel"/>
    <w:tmpl w:val="2676F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7511DD"/>
    <w:multiLevelType w:val="hybridMultilevel"/>
    <w:tmpl w:val="780E4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DE6AA0"/>
    <w:multiLevelType w:val="multilevel"/>
    <w:tmpl w:val="82EE5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26601A1"/>
    <w:multiLevelType w:val="hybridMultilevel"/>
    <w:tmpl w:val="3A4851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29625B7"/>
    <w:multiLevelType w:val="multilevel"/>
    <w:tmpl w:val="4EA45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47B69B6"/>
    <w:multiLevelType w:val="multilevel"/>
    <w:tmpl w:val="4CBC4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DCC478F"/>
    <w:multiLevelType w:val="hybridMultilevel"/>
    <w:tmpl w:val="5A06197C"/>
    <w:lvl w:ilvl="0" w:tplc="117AC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A4ECC"/>
    <w:multiLevelType w:val="hybridMultilevel"/>
    <w:tmpl w:val="EBC697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A2359"/>
    <w:multiLevelType w:val="multilevel"/>
    <w:tmpl w:val="ECAE84C6"/>
    <w:lvl w:ilvl="0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tabs>
          <w:tab w:val="num" w:pos="497"/>
        </w:tabs>
        <w:ind w:left="49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857"/>
        </w:tabs>
        <w:ind w:left="85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57"/>
        </w:tabs>
        <w:ind w:left="85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57"/>
        </w:tabs>
        <w:ind w:left="857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17"/>
        </w:tabs>
        <w:ind w:left="121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17"/>
        </w:tabs>
        <w:ind w:left="1217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77"/>
        </w:tabs>
        <w:ind w:left="157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77"/>
        </w:tabs>
        <w:ind w:left="1577" w:hanging="1440"/>
      </w:pPr>
    </w:lvl>
  </w:abstractNum>
  <w:abstractNum w:abstractNumId="19">
    <w:nsid w:val="65664BFC"/>
    <w:multiLevelType w:val="hybridMultilevel"/>
    <w:tmpl w:val="7DFCA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16DC6"/>
    <w:multiLevelType w:val="hybridMultilevel"/>
    <w:tmpl w:val="21B8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51615"/>
    <w:multiLevelType w:val="hybridMultilevel"/>
    <w:tmpl w:val="FA94A640"/>
    <w:lvl w:ilvl="0" w:tplc="5F6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9B8629F"/>
    <w:multiLevelType w:val="multilevel"/>
    <w:tmpl w:val="950C8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21"/>
  </w:num>
  <w:num w:numId="15">
    <w:abstractNumId w:val="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0"/>
  </w:num>
  <w:num w:numId="21">
    <w:abstractNumId w:val="22"/>
  </w:num>
  <w:num w:numId="22">
    <w:abstractNumId w:val="14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1"/>
    <w:rsid w:val="0007796F"/>
    <w:rsid w:val="000D66D8"/>
    <w:rsid w:val="002E278D"/>
    <w:rsid w:val="00443A25"/>
    <w:rsid w:val="004C23DD"/>
    <w:rsid w:val="00567D31"/>
    <w:rsid w:val="00791031"/>
    <w:rsid w:val="00791BE4"/>
    <w:rsid w:val="00914242"/>
    <w:rsid w:val="00A550F7"/>
    <w:rsid w:val="00C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D31"/>
    <w:pPr>
      <w:ind w:left="720"/>
      <w:contextualSpacing/>
    </w:pPr>
  </w:style>
  <w:style w:type="table" w:styleId="Mkatabulky">
    <w:name w:val="Table Grid"/>
    <w:basedOn w:val="Normlntabulka"/>
    <w:uiPriority w:val="59"/>
    <w:rsid w:val="0079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1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B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91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BE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D31"/>
    <w:pPr>
      <w:ind w:left="720"/>
      <w:contextualSpacing/>
    </w:pPr>
  </w:style>
  <w:style w:type="table" w:styleId="Mkatabulky">
    <w:name w:val="Table Grid"/>
    <w:basedOn w:val="Normlntabulka"/>
    <w:uiPriority w:val="59"/>
    <w:rsid w:val="0079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1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B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91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BE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8D56-D5FF-4763-8471-0C64AA10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Prachniarová Dagmar</dc:creator>
  <cp:lastModifiedBy>Prachniarová Dagmar</cp:lastModifiedBy>
  <cp:revision>3</cp:revision>
  <dcterms:created xsi:type="dcterms:W3CDTF">2023-12-08T09:44:00Z</dcterms:created>
  <dcterms:modified xsi:type="dcterms:W3CDTF">2023-12-08T09:53:00Z</dcterms:modified>
</cp:coreProperties>
</file>